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EC6CA">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#10</w:t>
      </w:r>
      <w:r>
        <w:rPr>
          <w:rFonts w:hint="eastAsia" w:ascii="Arial" w:hAnsi="Arial" w:eastAsia="宋体" w:cs="Arial"/>
          <w:b/>
          <w:sz w:val="28"/>
          <w:szCs w:val="28"/>
          <w:lang w:val="en-US" w:eastAsia="zh-CN"/>
        </w:rPr>
        <w:t>8</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hint="eastAsia" w:ascii="Arial" w:hAnsi="Arial" w:cs="Arial"/>
          <w:b/>
          <w:sz w:val="28"/>
          <w:szCs w:val="28"/>
        </w:rPr>
        <w:t>RP-251435</w:t>
      </w:r>
    </w:p>
    <w:p w14:paraId="4B84BA20">
      <w:pPr>
        <w:keepLines/>
        <w:tabs>
          <w:tab w:val="left" w:pos="567"/>
        </w:tabs>
        <w:rPr>
          <w:rFonts w:ascii="Arial" w:hAnsi="Arial" w:cs="Arial"/>
          <w:b/>
          <w:sz w:val="28"/>
          <w:szCs w:val="28"/>
        </w:rPr>
      </w:pPr>
      <w:r>
        <w:rPr>
          <w:rFonts w:ascii="Arial" w:hAnsi="Arial" w:cs="Arial"/>
          <w:b/>
          <w:sz w:val="28"/>
          <w:szCs w:val="28"/>
        </w:rPr>
        <w:t xml:space="preserve">Prague , CZ, </w:t>
      </w:r>
      <w:r>
        <w:rPr>
          <w:rFonts w:hint="eastAsia" w:ascii="Arial" w:hAnsi="Arial" w:eastAsia="宋体" w:cs="Arial"/>
          <w:b/>
          <w:sz w:val="28"/>
          <w:szCs w:val="28"/>
          <w:lang w:val="en-US" w:eastAsia="zh-CN"/>
        </w:rPr>
        <w:t>June</w:t>
      </w:r>
      <w:r>
        <w:rPr>
          <w:rFonts w:ascii="Arial" w:hAnsi="Arial" w:cs="Arial"/>
          <w:b/>
          <w:sz w:val="28"/>
          <w:szCs w:val="28"/>
        </w:rPr>
        <w:t xml:space="preserve"> </w:t>
      </w:r>
      <w:r>
        <w:rPr>
          <w:rFonts w:hint="eastAsia" w:ascii="Arial" w:hAnsi="Arial" w:eastAsia="宋体" w:cs="Arial"/>
          <w:b/>
          <w:sz w:val="28"/>
          <w:szCs w:val="28"/>
          <w:lang w:val="en-US" w:eastAsia="zh-CN"/>
        </w:rPr>
        <w:t>9</w:t>
      </w:r>
      <w:r>
        <w:rPr>
          <w:rFonts w:ascii="Arial" w:hAnsi="Arial" w:cs="Arial"/>
          <w:b/>
          <w:sz w:val="28"/>
          <w:szCs w:val="28"/>
        </w:rPr>
        <w:t>-1</w:t>
      </w:r>
      <w:r>
        <w:rPr>
          <w:rFonts w:hint="eastAsia" w:ascii="Arial" w:hAnsi="Arial" w:eastAsia="宋体" w:cs="Arial"/>
          <w:b/>
          <w:sz w:val="28"/>
          <w:szCs w:val="28"/>
          <w:lang w:val="en-US" w:eastAsia="zh-CN"/>
        </w:rPr>
        <w:t>3</w:t>
      </w:r>
      <w:r>
        <w:rPr>
          <w:rFonts w:ascii="Arial" w:hAnsi="Arial" w:cs="Arial"/>
          <w:b/>
          <w:sz w:val="28"/>
          <w:szCs w:val="28"/>
        </w:rPr>
        <w:t>, 2025</w:t>
      </w:r>
    </w:p>
    <w:p w14:paraId="4BFDD6D0">
      <w:pPr>
        <w:pStyle w:val="3"/>
        <w:jc w:val="center"/>
        <w:rPr>
          <w:u w:val="single"/>
        </w:rPr>
      </w:pPr>
      <w:r>
        <w:rPr>
          <w:u w:val="single"/>
        </w:rPr>
        <w:t>Status Report to TSG</w:t>
      </w:r>
    </w:p>
    <w:p w14:paraId="309ACDF9">
      <w:pPr>
        <w:tabs>
          <w:tab w:val="left" w:pos="567"/>
        </w:tabs>
        <w:rPr>
          <w:rFonts w:hint="eastAsia" w:ascii="Arial" w:hAnsi="Arial" w:eastAsia="宋体" w:cs="Arial"/>
          <w:b/>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b/>
        </w:rPr>
        <w:t>9.3.4.2</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7DDE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5D1D6EB">
            <w:pPr>
              <w:tabs>
                <w:tab w:val="left" w:pos="567"/>
              </w:tabs>
              <w:spacing w:after="0"/>
              <w:rPr>
                <w:rFonts w:ascii="Arial" w:hAnsi="Arial" w:cs="Arial"/>
                <w:b/>
              </w:rPr>
            </w:pPr>
            <w:r>
              <w:rPr>
                <w:rFonts w:ascii="Arial" w:hAnsi="Arial" w:cs="Arial"/>
                <w:b/>
              </w:rPr>
              <w:t>WI / SI Name</w:t>
            </w:r>
          </w:p>
        </w:tc>
        <w:tc>
          <w:tcPr>
            <w:tcW w:w="7650" w:type="dxa"/>
            <w:gridSpan w:val="5"/>
          </w:tcPr>
          <w:p w14:paraId="3F057CBF">
            <w:pPr>
              <w:tabs>
                <w:tab w:val="left" w:pos="2127"/>
              </w:tabs>
              <w:overflowPunct/>
              <w:autoSpaceDE/>
              <w:autoSpaceDN/>
              <w:adjustRightInd/>
              <w:spacing w:after="0"/>
              <w:ind w:left="2126" w:hanging="2126"/>
              <w:jc w:val="both"/>
              <w:textAlignment w:val="auto"/>
              <w:outlineLvl w:val="0"/>
              <w:rPr>
                <w:rFonts w:ascii="Arial" w:hAnsi="Arial" w:cs="Arial" w:eastAsiaTheme="minorEastAsia"/>
              </w:rPr>
            </w:pPr>
            <w:r>
              <w:rPr>
                <w:rFonts w:ascii="Arial" w:hAnsi="Arial" w:cs="Arial"/>
              </w:rPr>
              <w:t>NR base station (BS) RF requirement evolution for FR1/FR2 and testing</w:t>
            </w:r>
          </w:p>
        </w:tc>
      </w:tr>
      <w:tr w14:paraId="7DFA7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6C2F92ED">
            <w:pPr>
              <w:tabs>
                <w:tab w:val="left" w:pos="567"/>
              </w:tabs>
              <w:spacing w:after="0"/>
              <w:rPr>
                <w:rFonts w:ascii="Arial" w:hAnsi="Arial" w:cs="Arial"/>
                <w:bCs/>
              </w:rPr>
            </w:pPr>
            <w:r>
              <w:rPr>
                <w:rFonts w:ascii="Arial" w:hAnsi="Arial" w:cs="Arial"/>
                <w:bCs/>
              </w:rPr>
              <w:t>included in this status report</w:t>
            </w:r>
          </w:p>
        </w:tc>
        <w:tc>
          <w:tcPr>
            <w:tcW w:w="1846" w:type="dxa"/>
          </w:tcPr>
          <w:p w14:paraId="6FBD419A">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3AF9475">
            <w:pPr>
              <w:tabs>
                <w:tab w:val="left" w:pos="567"/>
              </w:tabs>
              <w:spacing w:after="0"/>
              <w:rPr>
                <w:rFonts w:ascii="Arial" w:hAnsi="Arial" w:cs="Arial"/>
              </w:rPr>
            </w:pPr>
            <w:r>
              <w:rPr>
                <w:rFonts w:ascii="Arial" w:hAnsi="Arial" w:cs="Arial"/>
                <w:lang w:eastAsia="ja-JP"/>
              </w:rPr>
              <w:t>No</w:t>
            </w:r>
          </w:p>
        </w:tc>
        <w:tc>
          <w:tcPr>
            <w:tcW w:w="1842" w:type="dxa"/>
          </w:tcPr>
          <w:p w14:paraId="4A39774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0DFFCA0">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14:paraId="6B90A1D0">
            <w:pPr>
              <w:tabs>
                <w:tab w:val="left" w:pos="567"/>
              </w:tabs>
              <w:spacing w:after="0"/>
              <w:rPr>
                <w:rFonts w:ascii="Arial" w:hAnsi="Arial" w:cs="Arial"/>
              </w:rPr>
            </w:pPr>
            <w:r>
              <w:rPr>
                <w:rFonts w:ascii="Arial" w:hAnsi="Arial" w:cs="Arial"/>
              </w:rPr>
              <w:t>Performance part:</w:t>
            </w:r>
          </w:p>
          <w:p w14:paraId="5030284B">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14:paraId="248D66CF">
            <w:pPr>
              <w:tabs>
                <w:tab w:val="left" w:pos="567"/>
              </w:tabs>
              <w:spacing w:after="0"/>
              <w:rPr>
                <w:rFonts w:ascii="Arial" w:hAnsi="Arial" w:cs="Arial"/>
              </w:rPr>
            </w:pPr>
            <w:r>
              <w:rPr>
                <w:rFonts w:ascii="Arial" w:hAnsi="Arial" w:cs="Arial"/>
              </w:rPr>
              <w:t>Testing part:</w:t>
            </w:r>
          </w:p>
          <w:p w14:paraId="4C2F1E2A">
            <w:pPr>
              <w:tabs>
                <w:tab w:val="left" w:pos="567"/>
              </w:tabs>
              <w:spacing w:after="0"/>
              <w:rPr>
                <w:rFonts w:ascii="Arial" w:hAnsi="Arial" w:cs="Arial"/>
                <w:lang w:eastAsia="ja-JP"/>
              </w:rPr>
            </w:pPr>
            <w:r>
              <w:rPr>
                <w:rFonts w:hint="eastAsia" w:ascii="Arial" w:hAnsi="Arial" w:cs="Arial"/>
                <w:lang w:eastAsia="ja-JP"/>
              </w:rPr>
              <w:t>No</w:t>
            </w:r>
          </w:p>
        </w:tc>
      </w:tr>
      <w:tr w14:paraId="42B0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FA21EE1">
            <w:pPr>
              <w:tabs>
                <w:tab w:val="left" w:pos="567"/>
              </w:tabs>
              <w:spacing w:after="0"/>
              <w:rPr>
                <w:rFonts w:ascii="Arial" w:hAnsi="Arial" w:cs="Arial"/>
              </w:rPr>
            </w:pPr>
            <w:r>
              <w:rPr>
                <w:rFonts w:ascii="Arial" w:hAnsi="Arial" w:cs="Arial"/>
              </w:rPr>
              <w:t>Acronym</w:t>
            </w:r>
          </w:p>
        </w:tc>
        <w:tc>
          <w:tcPr>
            <w:tcW w:w="7650" w:type="dxa"/>
            <w:gridSpan w:val="5"/>
          </w:tcPr>
          <w:p w14:paraId="60EAEB7F">
            <w:pPr>
              <w:tabs>
                <w:tab w:val="left" w:pos="567"/>
              </w:tabs>
              <w:spacing w:after="0"/>
              <w:rPr>
                <w:rFonts w:ascii="Arial" w:hAnsi="Arial" w:cs="Arial"/>
              </w:rPr>
            </w:pPr>
            <w:bookmarkStart w:id="0" w:name="OLE_LINK214"/>
            <w:bookmarkStart w:id="1" w:name="OLE_LINK215"/>
            <w:r>
              <w:rPr>
                <w:rFonts w:ascii="Arial" w:hAnsi="Arial" w:cs="Arial"/>
              </w:rPr>
              <w:t>NR_BS_RF_req_evo</w:t>
            </w:r>
            <w:bookmarkEnd w:id="0"/>
            <w:bookmarkEnd w:id="1"/>
          </w:p>
        </w:tc>
      </w:tr>
      <w:tr w14:paraId="7136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E3C3C7">
            <w:pPr>
              <w:tabs>
                <w:tab w:val="left" w:pos="567"/>
              </w:tabs>
              <w:spacing w:after="0"/>
              <w:rPr>
                <w:rFonts w:ascii="Arial" w:hAnsi="Arial" w:cs="Arial"/>
                <w:b/>
              </w:rPr>
            </w:pPr>
            <w:r>
              <w:rPr>
                <w:rFonts w:ascii="Arial" w:hAnsi="Arial" w:cs="Arial"/>
                <w:b/>
              </w:rPr>
              <w:t>Unique ID</w:t>
            </w:r>
          </w:p>
        </w:tc>
        <w:tc>
          <w:tcPr>
            <w:tcW w:w="7650" w:type="dxa"/>
            <w:gridSpan w:val="5"/>
          </w:tcPr>
          <w:p w14:paraId="1283008A">
            <w:pPr>
              <w:tabs>
                <w:tab w:val="left" w:pos="567"/>
              </w:tabs>
              <w:spacing w:after="0"/>
              <w:rPr>
                <w:rFonts w:ascii="Arial" w:hAnsi="Arial" w:eastAsia="宋体" w:cs="Arial"/>
                <w:lang w:val="en-US" w:eastAsia="zh-CN"/>
              </w:rPr>
            </w:pPr>
            <w:r>
              <w:rPr>
                <w:rFonts w:ascii="Arial" w:hAnsi="Arial" w:cs="Arial"/>
              </w:rPr>
              <w:t>10300</w:t>
            </w:r>
            <w:r>
              <w:rPr>
                <w:rFonts w:hint="eastAsia" w:ascii="Arial" w:hAnsi="Arial" w:eastAsia="宋体" w:cs="Arial"/>
                <w:lang w:val="en-US" w:eastAsia="zh-CN"/>
              </w:rPr>
              <w:t>78</w:t>
            </w:r>
          </w:p>
        </w:tc>
      </w:tr>
      <w:tr w14:paraId="4237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4C98C3E">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32E1C25">
            <w:pPr>
              <w:tabs>
                <w:tab w:val="left" w:pos="567"/>
              </w:tabs>
              <w:spacing w:after="0"/>
              <w:rPr>
                <w:rFonts w:ascii="Arial" w:hAnsi="Arial" w:cs="Arial"/>
              </w:rPr>
            </w:pPr>
            <w:r>
              <w:rPr>
                <w:rFonts w:ascii="Arial" w:hAnsi="Arial" w:cs="Arial"/>
              </w:rPr>
              <w:fldChar w:fldCharType="begin"/>
            </w:r>
            <w:r>
              <w:rPr>
                <w:rFonts w:ascii="Arial" w:hAnsi="Arial" w:cs="Arial"/>
              </w:rPr>
              <w:instrText xml:space="preserve"> HYPERLINK "https://www.3gpp.org/ftp/TSG_RAN/TSG_RAN/TSGR_106/Docs/RP-243270.zip" \t "https://portal.3gpp.org/ngppapp/_blank" </w:instrText>
            </w:r>
            <w:r>
              <w:rPr>
                <w:rFonts w:ascii="Arial" w:hAnsi="Arial" w:cs="Arial"/>
              </w:rPr>
              <w:fldChar w:fldCharType="separate"/>
            </w:r>
            <w:r>
              <w:rPr>
                <w:rFonts w:hint="default" w:ascii="Arial" w:hAnsi="Arial" w:cs="Arial"/>
              </w:rPr>
              <w:t>RP-243270</w:t>
            </w:r>
            <w:r>
              <w:rPr>
                <w:rFonts w:hint="default" w:ascii="Arial" w:hAnsi="Arial" w:cs="Arial"/>
              </w:rPr>
              <w:fldChar w:fldCharType="end"/>
            </w:r>
          </w:p>
        </w:tc>
      </w:tr>
      <w:tr w14:paraId="4F69E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E7126AD">
            <w:pPr>
              <w:tabs>
                <w:tab w:val="left" w:pos="567"/>
              </w:tabs>
              <w:spacing w:after="0"/>
              <w:rPr>
                <w:rFonts w:ascii="Arial" w:hAnsi="Arial" w:cs="Arial"/>
                <w:b/>
              </w:rPr>
            </w:pPr>
            <w:r>
              <w:rPr>
                <w:rFonts w:ascii="Arial" w:hAnsi="Arial" w:cs="Arial"/>
                <w:b/>
              </w:rPr>
              <w:t>Target Completion Date</w:t>
            </w:r>
          </w:p>
          <w:p w14:paraId="7ECC33D8">
            <w:pPr>
              <w:tabs>
                <w:tab w:val="left" w:pos="567"/>
              </w:tabs>
              <w:spacing w:after="0"/>
              <w:rPr>
                <w:rFonts w:ascii="Arial" w:hAnsi="Arial" w:cs="Arial"/>
                <w:b/>
              </w:rPr>
            </w:pPr>
            <w:r>
              <w:rPr>
                <w:rFonts w:ascii="Arial" w:hAnsi="Arial" w:cs="Arial"/>
                <w:b/>
              </w:rPr>
              <w:t>(indicate if changed)</w:t>
            </w:r>
          </w:p>
        </w:tc>
        <w:tc>
          <w:tcPr>
            <w:tcW w:w="1846" w:type="dxa"/>
          </w:tcPr>
          <w:p w14:paraId="5D8AAB23">
            <w:pPr>
              <w:tabs>
                <w:tab w:val="left" w:pos="567"/>
              </w:tabs>
              <w:spacing w:after="0"/>
              <w:rPr>
                <w:rFonts w:ascii="Arial" w:hAnsi="Arial" w:cs="Arial"/>
                <w:lang w:eastAsia="ja-JP"/>
              </w:rPr>
            </w:pPr>
            <w:r>
              <w:rPr>
                <w:rFonts w:ascii="Arial" w:hAnsi="Arial" w:cs="Arial"/>
                <w:lang w:eastAsia="ja-JP"/>
              </w:rPr>
              <w:t xml:space="preserve">Study Item: </w:t>
            </w:r>
          </w:p>
          <w:p w14:paraId="65362521">
            <w:pPr>
              <w:tabs>
                <w:tab w:val="left" w:pos="567"/>
              </w:tabs>
              <w:spacing w:after="0"/>
              <w:rPr>
                <w:rFonts w:ascii="Arial" w:hAnsi="Arial" w:cs="Arial"/>
                <w:lang w:eastAsia="ja-JP"/>
              </w:rPr>
            </w:pPr>
            <w:r>
              <w:rPr>
                <w:rFonts w:ascii="Arial" w:hAnsi="Arial" w:cs="Arial"/>
                <w:lang w:eastAsia="ja-JP"/>
              </w:rPr>
              <w:t>NA</w:t>
            </w:r>
          </w:p>
        </w:tc>
        <w:tc>
          <w:tcPr>
            <w:tcW w:w="1842" w:type="dxa"/>
          </w:tcPr>
          <w:p w14:paraId="416F7573">
            <w:pPr>
              <w:tabs>
                <w:tab w:val="left" w:pos="567"/>
              </w:tabs>
              <w:spacing w:after="0"/>
              <w:rPr>
                <w:rFonts w:ascii="Arial" w:hAnsi="Arial" w:cs="Arial"/>
                <w:lang w:eastAsia="ja-JP"/>
              </w:rPr>
            </w:pPr>
            <w:r>
              <w:rPr>
                <w:rFonts w:ascii="Arial" w:hAnsi="Arial" w:cs="Arial"/>
                <w:lang w:eastAsia="ja-JP"/>
              </w:rPr>
              <w:t xml:space="preserve">Core part: </w:t>
            </w:r>
          </w:p>
          <w:p w14:paraId="1EAE652D">
            <w:pPr>
              <w:tabs>
                <w:tab w:val="left" w:pos="567"/>
              </w:tabs>
              <w:spacing w:after="0"/>
              <w:rPr>
                <w:rFonts w:ascii="Arial" w:hAnsi="Arial" w:cs="Arial" w:eastAsiaTheme="minorEastAsia"/>
                <w:lang w:eastAsia="zh-CN"/>
              </w:rPr>
            </w:pPr>
            <w:r>
              <w:rPr>
                <w:rFonts w:hint="eastAsia" w:ascii="Arial" w:hAnsi="Arial" w:cs="Arial" w:eastAsiaTheme="minorEastAsia"/>
                <w:lang w:eastAsia="zh-CN"/>
              </w:rPr>
              <w:t>09/20</w:t>
            </w:r>
            <w:r>
              <w:rPr>
                <w:rFonts w:ascii="Arial" w:hAnsi="Arial" w:cs="Arial" w:eastAsiaTheme="minorEastAsia"/>
                <w:lang w:eastAsia="zh-CN"/>
              </w:rPr>
              <w:t>2</w:t>
            </w:r>
            <w:r>
              <w:rPr>
                <w:rFonts w:hint="eastAsia" w:ascii="Arial" w:hAnsi="Arial" w:cs="Arial" w:eastAsiaTheme="minorEastAsia"/>
                <w:lang w:eastAsia="zh-CN"/>
              </w:rPr>
              <w:t>5</w:t>
            </w:r>
          </w:p>
        </w:tc>
        <w:tc>
          <w:tcPr>
            <w:tcW w:w="2268" w:type="dxa"/>
          </w:tcPr>
          <w:p w14:paraId="163E9351">
            <w:pPr>
              <w:tabs>
                <w:tab w:val="left" w:pos="567"/>
              </w:tabs>
              <w:spacing w:after="0"/>
              <w:rPr>
                <w:rFonts w:ascii="Arial" w:hAnsi="Arial" w:cs="Arial" w:eastAsiaTheme="minorEastAsia"/>
                <w:lang w:eastAsia="zh-CN"/>
              </w:rPr>
            </w:pPr>
            <w:r>
              <w:rPr>
                <w:rFonts w:ascii="Arial" w:hAnsi="Arial" w:cs="Arial"/>
                <w:lang w:eastAsia="ja-JP"/>
              </w:rPr>
              <w:t xml:space="preserve">Performance part: </w:t>
            </w:r>
            <w:r>
              <w:rPr>
                <w:rFonts w:hint="eastAsia" w:ascii="Arial" w:hAnsi="Arial" w:cs="Arial" w:eastAsiaTheme="minorEastAsia"/>
                <w:lang w:eastAsia="zh-CN"/>
              </w:rPr>
              <w:t>03</w:t>
            </w:r>
            <w:r>
              <w:rPr>
                <w:rFonts w:ascii="Arial" w:hAnsi="Arial" w:cs="Arial"/>
                <w:lang w:eastAsia="ja-JP"/>
              </w:rPr>
              <w:t>/20</w:t>
            </w:r>
            <w:r>
              <w:rPr>
                <w:rFonts w:hint="eastAsia" w:ascii="Arial" w:hAnsi="Arial" w:cs="Arial" w:eastAsiaTheme="minorEastAsia"/>
                <w:lang w:eastAsia="zh-CN"/>
              </w:rPr>
              <w:t>26</w:t>
            </w:r>
          </w:p>
        </w:tc>
        <w:tc>
          <w:tcPr>
            <w:tcW w:w="1694" w:type="dxa"/>
            <w:gridSpan w:val="2"/>
          </w:tcPr>
          <w:p w14:paraId="2F4D68F9">
            <w:pPr>
              <w:tabs>
                <w:tab w:val="left" w:pos="567"/>
              </w:tabs>
              <w:spacing w:after="0"/>
              <w:rPr>
                <w:rFonts w:ascii="Arial" w:hAnsi="Arial" w:cs="Arial"/>
                <w:lang w:eastAsia="ja-JP"/>
              </w:rPr>
            </w:pPr>
            <w:r>
              <w:rPr>
                <w:rFonts w:ascii="Arial" w:hAnsi="Arial" w:cs="Arial"/>
                <w:lang w:eastAsia="ja-JP"/>
              </w:rPr>
              <w:t xml:space="preserve">Testing part: </w:t>
            </w:r>
          </w:p>
          <w:p w14:paraId="4A8B92EF">
            <w:pPr>
              <w:tabs>
                <w:tab w:val="left" w:pos="567"/>
              </w:tabs>
              <w:spacing w:after="0"/>
              <w:rPr>
                <w:rFonts w:ascii="Arial" w:hAnsi="Arial" w:cs="Arial"/>
                <w:highlight w:val="yellow"/>
                <w:lang w:eastAsia="ja-JP"/>
              </w:rPr>
            </w:pPr>
            <w:r>
              <w:rPr>
                <w:rFonts w:ascii="Arial" w:hAnsi="Arial" w:cs="Arial"/>
                <w:lang w:eastAsia="ja-JP"/>
              </w:rPr>
              <w:t>NA</w:t>
            </w:r>
          </w:p>
        </w:tc>
      </w:tr>
      <w:tr w14:paraId="4607B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8EBB8CB">
            <w:pPr>
              <w:tabs>
                <w:tab w:val="left" w:pos="567"/>
              </w:tabs>
              <w:spacing w:after="0"/>
              <w:rPr>
                <w:rFonts w:ascii="Arial" w:hAnsi="Arial" w:cs="Arial"/>
                <w:b/>
              </w:rPr>
            </w:pPr>
            <w:r>
              <w:rPr>
                <w:rFonts w:ascii="Arial" w:hAnsi="Arial" w:cs="Arial"/>
                <w:b/>
              </w:rPr>
              <w:t>Overall Completion level</w:t>
            </w:r>
          </w:p>
        </w:tc>
        <w:tc>
          <w:tcPr>
            <w:tcW w:w="1846" w:type="dxa"/>
          </w:tcPr>
          <w:p w14:paraId="16CC518A">
            <w:pPr>
              <w:tabs>
                <w:tab w:val="left" w:pos="567"/>
              </w:tabs>
              <w:spacing w:after="0"/>
              <w:rPr>
                <w:rFonts w:ascii="Arial" w:hAnsi="Arial" w:cs="Arial"/>
                <w:lang w:eastAsia="ja-JP"/>
              </w:rPr>
            </w:pPr>
            <w:r>
              <w:rPr>
                <w:rFonts w:ascii="Arial" w:hAnsi="Arial" w:cs="Arial"/>
                <w:lang w:eastAsia="ja-JP"/>
              </w:rPr>
              <w:t xml:space="preserve">Study Item: </w:t>
            </w:r>
          </w:p>
          <w:p w14:paraId="20B985C1">
            <w:pPr>
              <w:tabs>
                <w:tab w:val="left" w:pos="567"/>
              </w:tabs>
              <w:spacing w:after="0"/>
              <w:rPr>
                <w:rFonts w:ascii="Arial" w:hAnsi="Arial" w:cs="Arial"/>
                <w:lang w:eastAsia="ja-JP"/>
              </w:rPr>
            </w:pPr>
            <w:r>
              <w:rPr>
                <w:rFonts w:ascii="Arial" w:hAnsi="Arial" w:cs="Arial"/>
                <w:lang w:eastAsia="ja-JP"/>
              </w:rPr>
              <w:t>NA</w:t>
            </w:r>
          </w:p>
        </w:tc>
        <w:tc>
          <w:tcPr>
            <w:tcW w:w="1842" w:type="dxa"/>
          </w:tcPr>
          <w:p w14:paraId="03158D17">
            <w:pPr>
              <w:tabs>
                <w:tab w:val="left" w:pos="567"/>
              </w:tabs>
              <w:spacing w:after="0"/>
              <w:rPr>
                <w:rFonts w:ascii="Arial" w:hAnsi="Arial" w:cs="Arial"/>
                <w:lang w:eastAsia="ja-JP"/>
              </w:rPr>
            </w:pPr>
            <w:r>
              <w:rPr>
                <w:rFonts w:ascii="Arial" w:hAnsi="Arial" w:cs="Arial"/>
                <w:lang w:eastAsia="ja-JP"/>
              </w:rPr>
              <w:t xml:space="preserve">Core part: </w:t>
            </w:r>
          </w:p>
          <w:p w14:paraId="3006397F">
            <w:pPr>
              <w:tabs>
                <w:tab w:val="left" w:pos="567"/>
              </w:tabs>
              <w:spacing w:after="0"/>
              <w:rPr>
                <w:rFonts w:ascii="Arial" w:hAnsi="Arial" w:cs="Arial"/>
                <w:color w:val="00B050"/>
                <w:kern w:val="2"/>
                <w:lang w:val="en-US" w:eastAsia="ja-JP"/>
              </w:rPr>
            </w:pPr>
            <w:r>
              <w:rPr>
                <w:rFonts w:hint="eastAsia" w:ascii="Arial" w:hAnsi="Arial" w:eastAsia="宋体" w:cs="Arial"/>
                <w:color w:val="00B050"/>
                <w:kern w:val="2"/>
                <w:lang w:val="en-US" w:eastAsia="zh-CN"/>
              </w:rPr>
              <w:t>70</w:t>
            </w:r>
            <w:r>
              <w:rPr>
                <w:rFonts w:ascii="Arial" w:hAnsi="Arial" w:cs="Arial"/>
                <w:color w:val="00B050"/>
                <w:kern w:val="2"/>
                <w:lang w:val="en-US" w:eastAsia="ja-JP"/>
              </w:rPr>
              <w:t>%</w:t>
            </w:r>
          </w:p>
          <w:p w14:paraId="21F83064">
            <w:pPr>
              <w:tabs>
                <w:tab w:val="left" w:pos="567"/>
              </w:tabs>
              <w:spacing w:after="0"/>
              <w:rPr>
                <w:rFonts w:ascii="Arial" w:hAnsi="Arial" w:cs="Arial" w:eastAsiaTheme="minorEastAsia"/>
                <w:color w:val="00B050"/>
                <w:kern w:val="2"/>
                <w:lang w:val="en-US" w:eastAsia="zh-CN"/>
              </w:rPr>
            </w:pPr>
          </w:p>
        </w:tc>
        <w:tc>
          <w:tcPr>
            <w:tcW w:w="2268" w:type="dxa"/>
          </w:tcPr>
          <w:p w14:paraId="204FBAC0">
            <w:pPr>
              <w:tabs>
                <w:tab w:val="left" w:pos="567"/>
              </w:tabs>
              <w:spacing w:after="0"/>
              <w:rPr>
                <w:rFonts w:ascii="Arial" w:hAnsi="Arial" w:cs="Arial"/>
                <w:lang w:eastAsia="ja-JP"/>
              </w:rPr>
            </w:pPr>
            <w:r>
              <w:rPr>
                <w:rFonts w:ascii="Arial" w:hAnsi="Arial" w:cs="Arial"/>
                <w:lang w:eastAsia="ja-JP"/>
              </w:rPr>
              <w:t xml:space="preserve">Performance Part: </w:t>
            </w:r>
          </w:p>
          <w:p w14:paraId="7FCA971B">
            <w:pPr>
              <w:tabs>
                <w:tab w:val="left" w:pos="567"/>
              </w:tabs>
              <w:spacing w:after="0"/>
              <w:rPr>
                <w:rFonts w:ascii="Arial" w:hAnsi="Arial" w:cs="Arial" w:eastAsiaTheme="minorEastAsia"/>
                <w:color w:val="00B050"/>
                <w:kern w:val="2"/>
                <w:lang w:val="en-US" w:eastAsia="zh-CN"/>
              </w:rPr>
            </w:pPr>
            <w:r>
              <w:rPr>
                <w:rFonts w:hint="eastAsia" w:ascii="Arial" w:hAnsi="Arial" w:cs="Arial" w:eastAsiaTheme="minorEastAsia"/>
                <w:color w:val="00B050"/>
                <w:kern w:val="2"/>
                <w:lang w:val="en-US" w:eastAsia="zh-CN"/>
              </w:rPr>
              <w:t>40%</w:t>
            </w:r>
          </w:p>
          <w:p w14:paraId="7AE68EA2">
            <w:pPr>
              <w:tabs>
                <w:tab w:val="left" w:pos="567"/>
              </w:tabs>
              <w:spacing w:after="0"/>
              <w:rPr>
                <w:rFonts w:ascii="Arial" w:hAnsi="Arial" w:cs="Arial"/>
                <w:lang w:eastAsia="ja-JP"/>
              </w:rPr>
            </w:pPr>
          </w:p>
        </w:tc>
        <w:tc>
          <w:tcPr>
            <w:tcW w:w="1694" w:type="dxa"/>
            <w:gridSpan w:val="2"/>
          </w:tcPr>
          <w:p w14:paraId="21D2DABC">
            <w:pPr>
              <w:tabs>
                <w:tab w:val="left" w:pos="567"/>
              </w:tabs>
              <w:spacing w:after="0"/>
              <w:rPr>
                <w:rFonts w:ascii="Arial" w:hAnsi="Arial" w:cs="Arial"/>
                <w:lang w:eastAsia="ja-JP"/>
              </w:rPr>
            </w:pPr>
            <w:r>
              <w:rPr>
                <w:rFonts w:ascii="Arial" w:hAnsi="Arial" w:cs="Arial"/>
                <w:lang w:eastAsia="ja-JP"/>
              </w:rPr>
              <w:t xml:space="preserve">Testing part: </w:t>
            </w:r>
          </w:p>
          <w:p w14:paraId="64C90C1A">
            <w:pPr>
              <w:tabs>
                <w:tab w:val="left" w:pos="567"/>
              </w:tabs>
              <w:spacing w:after="0"/>
              <w:rPr>
                <w:rFonts w:ascii="Arial" w:hAnsi="Arial" w:cs="Arial"/>
                <w:highlight w:val="yellow"/>
                <w:lang w:eastAsia="ja-JP"/>
              </w:rPr>
            </w:pPr>
            <w:r>
              <w:rPr>
                <w:rFonts w:ascii="Arial" w:hAnsi="Arial" w:cs="Arial"/>
                <w:lang w:eastAsia="ja-JP"/>
              </w:rPr>
              <w:t>NA</w:t>
            </w:r>
          </w:p>
        </w:tc>
      </w:tr>
    </w:tbl>
    <w:p w14:paraId="2D054700">
      <w:pPr>
        <w:tabs>
          <w:tab w:val="left" w:pos="567"/>
        </w:tabs>
        <w:spacing w:after="0"/>
        <w:rPr>
          <w:rFonts w:ascii="Arial" w:hAnsi="Arial" w:cs="Arial"/>
        </w:rPr>
      </w:pPr>
      <w:r>
        <w:rPr>
          <w:rFonts w:ascii="Arial" w:hAnsi="Arial" w:cs="Arial"/>
        </w:rPr>
        <w:t>Note: Overall completion level percentage numbers should use one of the colors below:</w:t>
      </w:r>
    </w:p>
    <w:p w14:paraId="316DD348">
      <w:pPr>
        <w:pStyle w:val="134"/>
        <w:numPr>
          <w:ilvl w:val="0"/>
          <w:numId w:val="13"/>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3CFF4A2">
      <w:pPr>
        <w:pStyle w:val="134"/>
        <w:numPr>
          <w:ilvl w:val="0"/>
          <w:numId w:val="13"/>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F7FD455">
      <w:pPr>
        <w:pStyle w:val="134"/>
        <w:numPr>
          <w:ilvl w:val="0"/>
          <w:numId w:val="13"/>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329285">
      <w:pPr>
        <w:pStyle w:val="134"/>
        <w:tabs>
          <w:tab w:val="left" w:pos="567"/>
        </w:tabs>
        <w:ind w:left="924" w:leftChars="0"/>
        <w:rPr>
          <w:rFonts w:ascii="Arial" w:hAnsi="Arial" w:cs="Arial"/>
          <w:color w:val="FF0000"/>
        </w:rPr>
      </w:pPr>
    </w:p>
    <w:p w14:paraId="40FCB2B7">
      <w:pPr>
        <w:tabs>
          <w:tab w:val="left" w:pos="567"/>
        </w:tabs>
        <w:spacing w:after="60"/>
        <w:rPr>
          <w:rFonts w:ascii="Arial" w:hAnsi="Arial" w:cs="Arial"/>
          <w:b/>
        </w:rPr>
      </w:pPr>
      <w:r>
        <w:rPr>
          <w:rFonts w:ascii="Arial" w:hAnsi="Arial" w:cs="Arial"/>
          <w:b/>
        </w:rPr>
        <w:t>Source:</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6165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0AC72714">
            <w:pPr>
              <w:tabs>
                <w:tab w:val="left" w:pos="567"/>
              </w:tabs>
              <w:spacing w:after="0"/>
              <w:rPr>
                <w:rFonts w:ascii="Arial" w:hAnsi="Arial" w:cs="Arial"/>
                <w:b/>
              </w:rPr>
            </w:pPr>
            <w:r>
              <w:rPr>
                <w:rFonts w:ascii="Arial" w:hAnsi="Arial" w:cs="Arial"/>
                <w:b/>
              </w:rPr>
              <w:t>Leading WG</w:t>
            </w:r>
          </w:p>
        </w:tc>
        <w:tc>
          <w:tcPr>
            <w:tcW w:w="7489" w:type="dxa"/>
          </w:tcPr>
          <w:p w14:paraId="29FD806D">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WG4</w:t>
            </w:r>
          </w:p>
        </w:tc>
      </w:tr>
      <w:tr w14:paraId="64249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380927C">
            <w:pPr>
              <w:tabs>
                <w:tab w:val="left" w:pos="567"/>
              </w:tabs>
              <w:rPr>
                <w:rFonts w:ascii="Arial" w:hAnsi="Arial" w:cs="Arial"/>
                <w:b/>
              </w:rPr>
            </w:pPr>
            <w:r>
              <w:rPr>
                <w:rFonts w:ascii="Arial" w:hAnsi="Arial" w:cs="Arial"/>
                <w:b/>
              </w:rPr>
              <w:t>Rapporteur</w:t>
            </w:r>
          </w:p>
        </w:tc>
        <w:tc>
          <w:tcPr>
            <w:tcW w:w="1340" w:type="dxa"/>
          </w:tcPr>
          <w:p w14:paraId="6E3614A2">
            <w:pPr>
              <w:tabs>
                <w:tab w:val="left" w:pos="567"/>
              </w:tabs>
              <w:spacing w:after="0"/>
              <w:rPr>
                <w:rFonts w:ascii="Arial" w:hAnsi="Arial" w:cs="Arial"/>
                <w:b/>
              </w:rPr>
            </w:pPr>
            <w:r>
              <w:rPr>
                <w:rFonts w:ascii="Arial" w:hAnsi="Arial" w:cs="Arial"/>
                <w:b/>
              </w:rPr>
              <w:t>Name</w:t>
            </w:r>
          </w:p>
        </w:tc>
        <w:tc>
          <w:tcPr>
            <w:tcW w:w="7489" w:type="dxa"/>
          </w:tcPr>
          <w:p w14:paraId="08A4FFBF">
            <w:pPr>
              <w:tabs>
                <w:tab w:val="left" w:pos="567"/>
              </w:tabs>
              <w:spacing w:after="0"/>
              <w:rPr>
                <w:rFonts w:ascii="Arial" w:hAnsi="Arial" w:eastAsia="宋体" w:cs="Arial"/>
                <w:lang w:val="en-US" w:eastAsia="zh-CN"/>
              </w:rPr>
            </w:pPr>
            <w:r>
              <w:rPr>
                <w:rFonts w:hint="eastAsia" w:ascii="Arial" w:hAnsi="Arial" w:eastAsia="宋体" w:cs="Arial"/>
                <w:lang w:val="en-US" w:eastAsia="zh-CN"/>
              </w:rPr>
              <w:t>Xue</w:t>
            </w:r>
            <w:r>
              <w:rPr>
                <w:rFonts w:ascii="Arial" w:hAnsi="Arial" w:eastAsia="宋体" w:cs="Arial"/>
                <w:lang w:eastAsia="zh-CN"/>
              </w:rPr>
              <w:t xml:space="preserve">, </w:t>
            </w:r>
            <w:r>
              <w:rPr>
                <w:rFonts w:hint="eastAsia" w:ascii="Arial" w:hAnsi="Arial" w:eastAsia="宋体" w:cs="Arial"/>
                <w:lang w:val="en-US" w:eastAsia="zh-CN"/>
              </w:rPr>
              <w:t>fei</w:t>
            </w:r>
          </w:p>
        </w:tc>
      </w:tr>
      <w:tr w14:paraId="2FEBE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768D296">
            <w:pPr>
              <w:tabs>
                <w:tab w:val="left" w:pos="567"/>
              </w:tabs>
              <w:rPr>
                <w:rFonts w:ascii="Arial" w:hAnsi="Arial" w:cs="Arial"/>
                <w:b/>
              </w:rPr>
            </w:pPr>
          </w:p>
        </w:tc>
        <w:tc>
          <w:tcPr>
            <w:tcW w:w="1340" w:type="dxa"/>
          </w:tcPr>
          <w:p w14:paraId="1EE5BA5E">
            <w:pPr>
              <w:tabs>
                <w:tab w:val="left" w:pos="567"/>
              </w:tabs>
              <w:spacing w:after="0"/>
              <w:rPr>
                <w:rFonts w:ascii="Arial" w:hAnsi="Arial" w:cs="Arial"/>
                <w:b/>
              </w:rPr>
            </w:pPr>
            <w:r>
              <w:rPr>
                <w:rFonts w:ascii="Arial" w:hAnsi="Arial" w:cs="Arial"/>
                <w:b/>
              </w:rPr>
              <w:t>Company</w:t>
            </w:r>
          </w:p>
        </w:tc>
        <w:tc>
          <w:tcPr>
            <w:tcW w:w="7489" w:type="dxa"/>
          </w:tcPr>
          <w:p w14:paraId="64E7CDB9">
            <w:pPr>
              <w:tabs>
                <w:tab w:val="left" w:pos="567"/>
              </w:tabs>
              <w:spacing w:after="0"/>
              <w:rPr>
                <w:rFonts w:ascii="Arial" w:hAnsi="Arial" w:eastAsia="宋体" w:cs="Arial"/>
                <w:lang w:val="en-US" w:eastAsia="zh-CN"/>
              </w:rPr>
            </w:pPr>
            <w:r>
              <w:rPr>
                <w:rFonts w:hint="eastAsia" w:ascii="Arial" w:hAnsi="Arial" w:eastAsia="宋体" w:cs="Arial"/>
                <w:lang w:val="en-US" w:eastAsia="zh-CN"/>
              </w:rPr>
              <w:t>ZTE Corporation</w:t>
            </w:r>
          </w:p>
        </w:tc>
      </w:tr>
      <w:tr w14:paraId="3CFE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6997EA70">
            <w:pPr>
              <w:tabs>
                <w:tab w:val="left" w:pos="567"/>
              </w:tabs>
              <w:rPr>
                <w:rFonts w:ascii="Arial" w:hAnsi="Arial" w:cs="Arial"/>
                <w:b/>
              </w:rPr>
            </w:pPr>
          </w:p>
        </w:tc>
        <w:tc>
          <w:tcPr>
            <w:tcW w:w="1340" w:type="dxa"/>
          </w:tcPr>
          <w:p w14:paraId="57473E70">
            <w:pPr>
              <w:tabs>
                <w:tab w:val="left" w:pos="567"/>
              </w:tabs>
              <w:spacing w:after="0"/>
              <w:rPr>
                <w:rFonts w:ascii="Arial" w:hAnsi="Arial" w:cs="Arial"/>
                <w:b/>
              </w:rPr>
            </w:pPr>
            <w:r>
              <w:rPr>
                <w:rFonts w:ascii="Arial" w:hAnsi="Arial" w:cs="Arial"/>
                <w:b/>
              </w:rPr>
              <w:t>Email</w:t>
            </w:r>
          </w:p>
        </w:tc>
        <w:tc>
          <w:tcPr>
            <w:tcW w:w="7489" w:type="dxa"/>
          </w:tcPr>
          <w:p w14:paraId="3360973A">
            <w:pPr>
              <w:tabs>
                <w:tab w:val="left" w:pos="567"/>
              </w:tabs>
              <w:spacing w:after="0"/>
              <w:rPr>
                <w:rFonts w:ascii="Arial" w:hAnsi="Arial" w:eastAsia="宋体" w:cs="Arial"/>
                <w:lang w:val="en-US" w:eastAsia="zh-CN"/>
              </w:rPr>
            </w:pPr>
            <w:r>
              <w:rPr>
                <w:rFonts w:hint="eastAsia" w:ascii="Arial" w:hAnsi="Arial" w:eastAsia="宋体" w:cs="Arial"/>
                <w:lang w:val="en-US" w:eastAsia="zh-CN"/>
              </w:rPr>
              <w:t>Xue.fei25@zte.com.cn</w:t>
            </w:r>
          </w:p>
        </w:tc>
      </w:tr>
    </w:tbl>
    <w:p w14:paraId="3373E909"/>
    <w:p w14:paraId="12C60BA9">
      <w:pPr>
        <w:pStyle w:val="2"/>
      </w:pPr>
      <w:r>
        <w:t>1</w:t>
      </w:r>
      <w:r>
        <w:tab/>
      </w:r>
      <w:r>
        <w:t>Work plan related evaluation</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7A0E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55A5671">
            <w:pPr>
              <w:pStyle w:val="69"/>
              <w:jc w:val="center"/>
              <w:rPr>
                <w:b/>
                <w:bCs/>
              </w:rPr>
            </w:pPr>
            <w:r>
              <w:rPr>
                <w:b/>
                <w:bCs/>
              </w:rPr>
              <w:t>Do you want to modify the time budget for this WI/SI compared to what was endorsed at the last RAN meeting?</w:t>
            </w:r>
          </w:p>
        </w:tc>
        <w:tc>
          <w:tcPr>
            <w:tcW w:w="1037" w:type="dxa"/>
            <w:vAlign w:val="center"/>
          </w:tcPr>
          <w:p w14:paraId="41FADB46">
            <w:pPr>
              <w:pStyle w:val="69"/>
              <w:jc w:val="center"/>
              <w:rPr>
                <w:rFonts w:eastAsiaTheme="minorEastAsia"/>
                <w:color w:val="FF0000"/>
                <w:lang w:eastAsia="zh-CN"/>
              </w:rPr>
            </w:pPr>
            <w:r>
              <w:rPr>
                <w:rFonts w:eastAsiaTheme="minorEastAsia"/>
                <w:lang w:eastAsia="zh-CN"/>
              </w:rPr>
              <w:t>No</w:t>
            </w:r>
          </w:p>
        </w:tc>
      </w:tr>
    </w:tbl>
    <w:p w14:paraId="03FD707D">
      <w:pPr>
        <w:spacing w:after="0"/>
        <w:rPr>
          <w:rFonts w:ascii="Arial" w:hAnsi="Arial" w:cs="Arial"/>
        </w:rPr>
      </w:pPr>
    </w:p>
    <w:p w14:paraId="65719964">
      <w:pPr>
        <w:pStyle w:val="72"/>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1CBAE5CF">
      <w:pPr>
        <w:pStyle w:val="72"/>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0A4CBDFF">
      <w:pPr>
        <w:pStyle w:val="72"/>
        <w:rPr>
          <w:rFonts w:ascii="Arial" w:hAnsi="Arial" w:cs="Arial"/>
          <w:i/>
        </w:rPr>
      </w:pPr>
      <w:r>
        <w:rPr>
          <w:rFonts w:ascii="Arial" w:hAnsi="Arial" w:cs="Arial"/>
          <w:b/>
        </w:rPr>
        <w:t>Additional explanations/motivations for the time budget changes in the attached Excel table:</w:t>
      </w:r>
    </w:p>
    <w:p w14:paraId="4E6124F7">
      <w:pPr>
        <w:spacing w:after="0"/>
        <w:rPr>
          <w:rFonts w:ascii="Arial" w:hAnsi="Arial" w:cs="Arial"/>
        </w:rPr>
      </w:pPr>
    </w:p>
    <w:p w14:paraId="2A81F5D8">
      <w:pPr>
        <w:pStyle w:val="2"/>
      </w:pPr>
      <w:r>
        <w:t>2.</w:t>
      </w:r>
      <w:r>
        <w:tab/>
      </w:r>
      <w:r>
        <w:t>Detailed progress in RAN WGs since last TSG meeting (for all involved WGs)</w:t>
      </w:r>
    </w:p>
    <w:p w14:paraId="1BFA244A">
      <w:pPr>
        <w:pStyle w:val="3"/>
        <w:rPr>
          <w:lang w:eastAsia="ja-JP"/>
        </w:rPr>
      </w:pPr>
      <w:r>
        <w:rPr>
          <w:lang w:eastAsia="ja-JP"/>
        </w:rPr>
        <w:t>2.1</w:t>
      </w:r>
      <w:r>
        <w:rPr>
          <w:lang w:eastAsia="ja-JP"/>
        </w:rPr>
        <w:tab/>
      </w:r>
      <w:r>
        <w:rPr>
          <w:rFonts w:hint="eastAsia"/>
          <w:lang w:eastAsia="ja-JP"/>
        </w:rPr>
        <w:t>RAN1</w:t>
      </w:r>
    </w:p>
    <w:p w14:paraId="7F4CCA31">
      <w:pPr>
        <w:pStyle w:val="4"/>
        <w:rPr>
          <w:lang w:eastAsia="zh-CN"/>
        </w:rPr>
      </w:pPr>
      <w:r>
        <w:rPr>
          <w:lang w:eastAsia="ja-JP"/>
        </w:rPr>
        <w:t>2.1.1</w:t>
      </w:r>
      <w:r>
        <w:rPr>
          <w:lang w:eastAsia="ja-JP"/>
        </w:rPr>
        <w:tab/>
      </w:r>
      <w:r>
        <w:rPr>
          <w:lang w:eastAsia="ja-JP"/>
        </w:rPr>
        <w:t>Agreements</w:t>
      </w:r>
    </w:p>
    <w:p w14:paraId="6B3FB695">
      <w:pPr>
        <w:pStyle w:val="4"/>
        <w:rPr>
          <w:lang w:eastAsia="ja-JP"/>
        </w:rPr>
      </w:pPr>
      <w:r>
        <w:rPr>
          <w:lang w:eastAsia="ja-JP"/>
        </w:rPr>
        <w:t>2.1.2</w:t>
      </w:r>
      <w:r>
        <w:rPr>
          <w:lang w:eastAsia="ja-JP"/>
        </w:rPr>
        <w:tab/>
      </w:r>
      <w:r>
        <w:rPr>
          <w:lang w:eastAsia="ja-JP"/>
        </w:rPr>
        <w:t>Remaining Open issues</w:t>
      </w:r>
    </w:p>
    <w:p w14:paraId="475DF6FA">
      <w:pPr>
        <w:pStyle w:val="3"/>
        <w:rPr>
          <w:lang w:eastAsia="ja-JP"/>
        </w:rPr>
      </w:pPr>
      <w:r>
        <w:rPr>
          <w:lang w:eastAsia="ja-JP"/>
        </w:rPr>
        <w:t>2.2</w:t>
      </w:r>
      <w:r>
        <w:rPr>
          <w:lang w:eastAsia="ja-JP"/>
        </w:rPr>
        <w:tab/>
      </w:r>
      <w:r>
        <w:rPr>
          <w:rFonts w:hint="eastAsia"/>
          <w:lang w:eastAsia="ja-JP"/>
        </w:rPr>
        <w:t>RAN2</w:t>
      </w:r>
    </w:p>
    <w:p w14:paraId="1BB7ECB9">
      <w:pPr>
        <w:pStyle w:val="4"/>
        <w:rPr>
          <w:lang w:eastAsia="ja-JP"/>
        </w:rPr>
      </w:pPr>
      <w:r>
        <w:rPr>
          <w:lang w:eastAsia="ja-JP"/>
        </w:rPr>
        <w:t>2.2.1</w:t>
      </w:r>
      <w:r>
        <w:rPr>
          <w:lang w:eastAsia="ja-JP"/>
        </w:rPr>
        <w:tab/>
      </w:r>
      <w:r>
        <w:rPr>
          <w:lang w:eastAsia="ja-JP"/>
        </w:rPr>
        <w:t>Agreements</w:t>
      </w:r>
    </w:p>
    <w:p w14:paraId="44CA9C9A">
      <w:pPr>
        <w:pStyle w:val="4"/>
        <w:rPr>
          <w:lang w:eastAsia="zh-CN"/>
        </w:rPr>
      </w:pPr>
      <w:r>
        <w:rPr>
          <w:lang w:eastAsia="ja-JP"/>
        </w:rPr>
        <w:t>2.2.2</w:t>
      </w:r>
      <w:r>
        <w:rPr>
          <w:lang w:eastAsia="ja-JP"/>
        </w:rPr>
        <w:tab/>
      </w:r>
      <w:r>
        <w:rPr>
          <w:lang w:eastAsia="ja-JP"/>
        </w:rPr>
        <w:t xml:space="preserve">Remaining Open issues </w:t>
      </w:r>
    </w:p>
    <w:p w14:paraId="3934634E">
      <w:pPr>
        <w:pStyle w:val="3"/>
        <w:rPr>
          <w:lang w:eastAsia="ja-JP"/>
        </w:rPr>
      </w:pPr>
      <w:r>
        <w:rPr>
          <w:lang w:eastAsia="ja-JP"/>
        </w:rPr>
        <w:t>2.3</w:t>
      </w:r>
      <w:r>
        <w:rPr>
          <w:lang w:eastAsia="ja-JP"/>
        </w:rPr>
        <w:tab/>
      </w:r>
      <w:r>
        <w:rPr>
          <w:rFonts w:hint="eastAsia"/>
          <w:lang w:eastAsia="ja-JP"/>
        </w:rPr>
        <w:t>RAN3</w:t>
      </w:r>
    </w:p>
    <w:p w14:paraId="4E846DFC">
      <w:pPr>
        <w:pStyle w:val="4"/>
        <w:rPr>
          <w:lang w:eastAsia="ja-JP"/>
        </w:rPr>
      </w:pPr>
      <w:r>
        <w:rPr>
          <w:lang w:eastAsia="ja-JP"/>
        </w:rPr>
        <w:t>2.3.1</w:t>
      </w:r>
      <w:r>
        <w:rPr>
          <w:lang w:eastAsia="ja-JP"/>
        </w:rPr>
        <w:tab/>
      </w:r>
      <w:r>
        <w:rPr>
          <w:lang w:eastAsia="ja-JP"/>
        </w:rPr>
        <w:t>Agreements</w:t>
      </w:r>
    </w:p>
    <w:p w14:paraId="59B70980">
      <w:pPr>
        <w:pStyle w:val="4"/>
        <w:rPr>
          <w:lang w:eastAsia="ja-JP"/>
        </w:rPr>
      </w:pPr>
      <w:r>
        <w:rPr>
          <w:lang w:eastAsia="ja-JP"/>
        </w:rPr>
        <w:t>2.3.2</w:t>
      </w:r>
      <w:r>
        <w:rPr>
          <w:lang w:eastAsia="ja-JP"/>
        </w:rPr>
        <w:tab/>
      </w:r>
      <w:r>
        <w:rPr>
          <w:lang w:eastAsia="ja-JP"/>
        </w:rPr>
        <w:t>Remaining Open issues</w:t>
      </w:r>
    </w:p>
    <w:p w14:paraId="1A24620D">
      <w:pPr>
        <w:pStyle w:val="3"/>
        <w:rPr>
          <w:lang w:eastAsia="ja-JP"/>
        </w:rPr>
      </w:pPr>
      <w:r>
        <w:rPr>
          <w:lang w:eastAsia="ja-JP"/>
        </w:rPr>
        <w:t>2.4</w:t>
      </w:r>
      <w:r>
        <w:rPr>
          <w:lang w:eastAsia="ja-JP"/>
        </w:rPr>
        <w:tab/>
      </w:r>
      <w:r>
        <w:rPr>
          <w:rFonts w:hint="eastAsia"/>
          <w:lang w:eastAsia="ja-JP"/>
        </w:rPr>
        <w:t>RAN4</w:t>
      </w:r>
    </w:p>
    <w:p w14:paraId="2ADFEFE7">
      <w:pPr>
        <w:pStyle w:val="4"/>
        <w:rPr>
          <w:lang w:eastAsia="ja-JP"/>
        </w:rPr>
      </w:pPr>
      <w:r>
        <w:rPr>
          <w:lang w:eastAsia="ja-JP"/>
        </w:rPr>
        <w:t>2.4.1</w:t>
      </w:r>
      <w:r>
        <w:rPr>
          <w:lang w:eastAsia="ja-JP"/>
        </w:rPr>
        <w:tab/>
      </w:r>
      <w:r>
        <w:rPr>
          <w:lang w:eastAsia="ja-JP"/>
        </w:rPr>
        <w:t>Agreements</w:t>
      </w:r>
    </w:p>
    <w:p w14:paraId="532E3BA3">
      <w:pPr>
        <w:pStyle w:val="5"/>
        <w:rPr>
          <w:rFonts w:hint="eastAsia"/>
          <w:lang w:val="en-US" w:eastAsia="zh-CN"/>
        </w:rPr>
      </w:pPr>
      <w:r>
        <w:rPr>
          <w:rFonts w:hint="eastAsia"/>
          <w:lang w:val="en-US" w:eastAsia="zh-CN"/>
        </w:rPr>
        <w:t xml:space="preserve">RAN4 #114bis: </w:t>
      </w:r>
    </w:p>
    <w:p w14:paraId="62A386DF">
      <w:pPr>
        <w:pageBreakBefore w:val="0"/>
        <w:kinsoku/>
        <w:wordWrap/>
        <w:topLinePunct w:val="0"/>
        <w:bidi w:val="0"/>
        <w:snapToGrid/>
        <w:outlineLvl w:val="9"/>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Core part for </w:t>
      </w:r>
      <w:r>
        <w:rPr>
          <w:rFonts w:hint="default" w:ascii="Times New Roman" w:hAnsi="Times New Roman" w:cs="Times New Roman"/>
          <w:b/>
          <w:bCs/>
          <w:lang w:val="en-US" w:eastAsia="zh-CN"/>
        </w:rPr>
        <w:t xml:space="preserve">CLTA: </w:t>
      </w:r>
    </w:p>
    <w:p w14:paraId="0978E73B">
      <w:pPr>
        <w:keepNext/>
        <w:keepLines/>
        <w:pageBreakBefore w:val="0"/>
        <w:widowControl/>
        <w:kinsoku/>
        <w:wordWrap/>
        <w:overflowPunct w:val="0"/>
        <w:topLinePunct w:val="0"/>
        <w:autoSpaceDE w:val="0"/>
        <w:autoSpaceDN w:val="0"/>
        <w:bidi w:val="0"/>
        <w:adjustRightInd w:val="0"/>
        <w:snapToGrid/>
        <w:ind w:left="1134" w:hanging="1134"/>
        <w:textAlignment w:val="baseline"/>
        <w:outlineLvl w:val="9"/>
        <w:rPr>
          <w:rFonts w:hint="default" w:ascii="Times New Roman" w:hAnsi="Times New Roman" w:cs="Times New Roman"/>
          <w:sz w:val="20"/>
          <w:szCs w:val="20"/>
          <w:lang w:eastAsia="zh-CN"/>
        </w:rPr>
      </w:pPr>
      <w:r>
        <w:rPr>
          <w:rFonts w:hint="default" w:ascii="Times New Roman" w:hAnsi="Times New Roman" w:cs="Times New Roman"/>
          <w:sz w:val="20"/>
          <w:szCs w:val="20"/>
        </w:rPr>
        <w:t>Sub-topic 1-1: TX IMD co-location</w:t>
      </w:r>
    </w:p>
    <w:p w14:paraId="7FFF89A5">
      <w:pPr>
        <w:pageBreakBefore w:val="0"/>
        <w:kinsoku/>
        <w:wordWrap/>
        <w:overflowPunct/>
        <w:topLinePunct w:val="0"/>
        <w:autoSpaceDE/>
        <w:autoSpaceDN/>
        <w:bidi w:val="0"/>
        <w:adjustRightInd/>
        <w:snapToGrid/>
        <w:spacing w:after="120"/>
        <w:textAlignment w:val="auto"/>
        <w:outlineLvl w:val="9"/>
        <w:rPr>
          <w:rFonts w:hint="eastAsia" w:ascii="Times New Roman" w:hAnsi="Times New Roman" w:cs="Times New Roman"/>
          <w:b/>
          <w:lang w:eastAsia="zh-CN"/>
        </w:rPr>
      </w:pPr>
      <w:r>
        <w:rPr>
          <w:rFonts w:hint="eastAsia" w:ascii="Times New Roman" w:hAnsi="Times New Roman" w:cs="Times New Roman"/>
          <w:b/>
          <w:lang w:eastAsia="zh-CN"/>
        </w:rPr>
        <w:t>Agreement</w:t>
      </w:r>
    </w:p>
    <w:p w14:paraId="4FAC1CD4">
      <w:pPr>
        <w:pageBreakBefore w:val="0"/>
        <w:kinsoku/>
        <w:wordWrap/>
        <w:overflowPunct/>
        <w:topLinePunct w:val="0"/>
        <w:autoSpaceDE/>
        <w:autoSpaceDN/>
        <w:bidi w:val="0"/>
        <w:adjustRightInd/>
        <w:snapToGrid/>
        <w:spacing w:after="120"/>
        <w:textAlignment w:val="auto"/>
        <w:outlineLvl w:val="9"/>
        <w:rPr>
          <w:rFonts w:hint="default" w:ascii="Times New Roman" w:hAnsi="Times New Roman" w:cs="Times New Roman"/>
        </w:rPr>
      </w:pPr>
      <w:r>
        <w:rPr>
          <w:rFonts w:hint="default" w:ascii="Times New Roman" w:hAnsi="Times New Roman" w:cs="Times New Roman"/>
        </w:rPr>
        <w:t>Intra-system TX IMD requirement is not within the scope of this WI. Therefore, no impact on Intra-system TX IMD requirement.</w:t>
      </w:r>
    </w:p>
    <w:p w14:paraId="057B55CA">
      <w:pPr>
        <w:pageBreakBefore w:val="0"/>
        <w:kinsoku/>
        <w:wordWrap/>
        <w:topLinePunct w:val="0"/>
        <w:bidi w:val="0"/>
        <w:snapToGrid/>
        <w:outlineLvl w:val="9"/>
        <w:rPr>
          <w:rFonts w:hint="default" w:ascii="Times New Roman" w:hAnsi="Times New Roman" w:cs="Times New Roman"/>
          <w:sz w:val="20"/>
          <w:szCs w:val="20"/>
          <w:lang w:eastAsia="zh-CN"/>
        </w:rPr>
      </w:pPr>
      <w:r>
        <w:rPr>
          <w:rFonts w:hint="default" w:ascii="Times New Roman" w:hAnsi="Times New Roman" w:cs="Times New Roman"/>
          <w:sz w:val="20"/>
          <w:szCs w:val="20"/>
        </w:rPr>
        <w:t>Sub-topic 1-2: Beam steering</w:t>
      </w:r>
    </w:p>
    <w:p w14:paraId="7BA7F102">
      <w:pPr>
        <w:pageBreakBefore w:val="0"/>
        <w:tabs>
          <w:tab w:val="left" w:pos="420"/>
          <w:tab w:val="left" w:pos="840"/>
          <w:tab w:val="left" w:pos="1260"/>
          <w:tab w:val="left" w:pos="2171"/>
        </w:tabs>
        <w:kinsoku/>
        <w:wordWrap/>
        <w:topLinePunct w:val="0"/>
        <w:bidi w:val="0"/>
        <w:snapToGrid/>
        <w:outlineLvl w:val="9"/>
        <w:rPr>
          <w:rFonts w:hint="default" w:ascii="Times New Roman" w:hAnsi="Times New Roman" w:cs="Times New Roman"/>
        </w:rPr>
      </w:pPr>
      <w:r>
        <w:rPr>
          <w:rFonts w:hint="eastAsia" w:ascii="Times New Roman" w:hAnsi="Times New Roman" w:cs="Times New Roman"/>
          <w:b/>
          <w:lang w:eastAsia="zh-CN"/>
        </w:rPr>
        <w:t>Agreement</w:t>
      </w:r>
      <w:r>
        <w:rPr>
          <w:rFonts w:hint="default" w:ascii="Times New Roman" w:hAnsi="Times New Roman" w:cs="Times New Roman"/>
          <w:lang w:eastAsia="zh-CN"/>
        </w:rPr>
        <w:t>:</w:t>
      </w:r>
    </w:p>
    <w:p w14:paraId="6CC1EF08">
      <w:pPr>
        <w:pageBreakBefore w:val="0"/>
        <w:kinsoku/>
        <w:wordWrap/>
        <w:topLinePunct w:val="0"/>
        <w:bidi w:val="0"/>
        <w:snapToGrid/>
        <w:outlineLvl w:val="9"/>
        <w:rPr>
          <w:rFonts w:hint="default" w:ascii="Times New Roman" w:hAnsi="Times New Roman" w:cs="Times New Roman"/>
        </w:rPr>
      </w:pPr>
      <w:r>
        <w:rPr>
          <w:rFonts w:hint="default" w:ascii="Times New Roman" w:hAnsi="Times New Roman" w:cs="Times New Roman"/>
        </w:rPr>
        <w:t>Beam steering impact on the RF requirements can be investigated case-by-case for the pre-selected requirements (as agreed in R4-2502279):</w:t>
      </w:r>
    </w:p>
    <w:p w14:paraId="66FBFF83">
      <w:pPr>
        <w:pStyle w:val="240"/>
        <w:pageBreakBefore w:val="0"/>
        <w:widowControl w:val="0"/>
        <w:numPr>
          <w:ilvl w:val="0"/>
          <w:numId w:val="14"/>
        </w:numPr>
        <w:kinsoku/>
        <w:wordWrap/>
        <w:overflowPunct/>
        <w:topLinePunct w:val="0"/>
        <w:autoSpaceDE/>
        <w:autoSpaceDN/>
        <w:bidi w:val="0"/>
        <w:adjustRightInd/>
        <w:snapToGrid/>
        <w:spacing w:after="160" w:line="259" w:lineRule="auto"/>
        <w:jc w:val="both"/>
        <w:outlineLvl w:val="9"/>
        <w:rPr>
          <w:rFonts w:hint="default" w:ascii="Times New Roman" w:hAnsi="Times New Roman" w:cs="Times New Roman"/>
        </w:rPr>
      </w:pPr>
      <w:r>
        <w:rPr>
          <w:rFonts w:hint="default" w:ascii="Times New Roman" w:hAnsi="Times New Roman" w:cs="Times New Roman"/>
        </w:rPr>
        <w:t>Transmitter OFF power requirement,</w:t>
      </w:r>
    </w:p>
    <w:p w14:paraId="6C863D4C">
      <w:pPr>
        <w:pStyle w:val="240"/>
        <w:pageBreakBefore w:val="0"/>
        <w:widowControl w:val="0"/>
        <w:numPr>
          <w:ilvl w:val="0"/>
          <w:numId w:val="14"/>
        </w:numPr>
        <w:kinsoku/>
        <w:wordWrap/>
        <w:overflowPunct/>
        <w:topLinePunct w:val="0"/>
        <w:autoSpaceDE/>
        <w:autoSpaceDN/>
        <w:bidi w:val="0"/>
        <w:adjustRightInd/>
        <w:snapToGrid/>
        <w:spacing w:after="160" w:line="259" w:lineRule="auto"/>
        <w:jc w:val="both"/>
        <w:outlineLvl w:val="9"/>
        <w:rPr>
          <w:rFonts w:hint="default" w:ascii="Times New Roman" w:hAnsi="Times New Roman" w:cs="Times New Roman"/>
        </w:rPr>
      </w:pPr>
      <w:r>
        <w:rPr>
          <w:rFonts w:hint="default" w:ascii="Times New Roman" w:hAnsi="Times New Roman" w:cs="Times New Roman"/>
        </w:rPr>
        <w:t>Co-location spurious emission requirement/Protection of the BS receiver of own or different BS,</w:t>
      </w:r>
    </w:p>
    <w:p w14:paraId="74EA7E59">
      <w:pPr>
        <w:pStyle w:val="240"/>
        <w:pageBreakBefore w:val="0"/>
        <w:widowControl w:val="0"/>
        <w:numPr>
          <w:ilvl w:val="0"/>
          <w:numId w:val="14"/>
        </w:numPr>
        <w:kinsoku/>
        <w:wordWrap/>
        <w:overflowPunct/>
        <w:topLinePunct w:val="0"/>
        <w:autoSpaceDE/>
        <w:autoSpaceDN/>
        <w:bidi w:val="0"/>
        <w:adjustRightInd/>
        <w:snapToGrid/>
        <w:spacing w:after="160" w:line="259" w:lineRule="auto"/>
        <w:jc w:val="both"/>
        <w:outlineLvl w:val="9"/>
        <w:rPr>
          <w:rFonts w:hint="default" w:ascii="Times New Roman" w:hAnsi="Times New Roman" w:cs="Times New Roman"/>
        </w:rPr>
      </w:pPr>
      <w:r>
        <w:rPr>
          <w:rFonts w:hint="default" w:ascii="Times New Roman" w:hAnsi="Times New Roman" w:cs="Times New Roman"/>
        </w:rPr>
        <w:t>Tx IMD requirement,</w:t>
      </w:r>
    </w:p>
    <w:p w14:paraId="1B49B391">
      <w:pPr>
        <w:pStyle w:val="240"/>
        <w:pageBreakBefore w:val="0"/>
        <w:widowControl w:val="0"/>
        <w:numPr>
          <w:ilvl w:val="0"/>
          <w:numId w:val="14"/>
        </w:numPr>
        <w:kinsoku/>
        <w:wordWrap/>
        <w:overflowPunct/>
        <w:topLinePunct w:val="0"/>
        <w:autoSpaceDE/>
        <w:autoSpaceDN/>
        <w:bidi w:val="0"/>
        <w:adjustRightInd/>
        <w:snapToGrid/>
        <w:spacing w:after="160" w:line="259" w:lineRule="auto"/>
        <w:jc w:val="both"/>
        <w:outlineLvl w:val="9"/>
        <w:rPr>
          <w:rFonts w:hint="default" w:ascii="Times New Roman" w:hAnsi="Times New Roman" w:cs="Times New Roman"/>
        </w:rPr>
      </w:pPr>
      <w:r>
        <w:rPr>
          <w:rFonts w:hint="default" w:ascii="Times New Roman" w:hAnsi="Times New Roman" w:cs="Times New Roman"/>
        </w:rPr>
        <w:t>Co-located OOBB requirement.</w:t>
      </w:r>
    </w:p>
    <w:p w14:paraId="2067C1F3">
      <w:pPr>
        <w:pageBreakBefore w:val="0"/>
        <w:kinsoku/>
        <w:wordWrap/>
        <w:topLinePunct w:val="0"/>
        <w:bidi w:val="0"/>
        <w:snapToGrid/>
        <w:outlineLvl w:val="9"/>
        <w:rPr>
          <w:rFonts w:hint="default" w:ascii="Times New Roman" w:hAnsi="Times New Roman" w:cs="Times New Roman"/>
        </w:rPr>
      </w:pPr>
      <w:r>
        <w:rPr>
          <w:rFonts w:hint="default" w:ascii="Times New Roman" w:hAnsi="Times New Roman" w:cs="Times New Roman"/>
        </w:rPr>
        <w:t>No conclusion on exclusion of any of the above requirements from the beam steering coupling analysis.</w:t>
      </w:r>
    </w:p>
    <w:p w14:paraId="0E6B4791">
      <w:pPr>
        <w:pageBreakBefore w:val="0"/>
        <w:kinsoku/>
        <w:wordWrap/>
        <w:topLinePunct w:val="0"/>
        <w:bidi w:val="0"/>
        <w:snapToGrid/>
        <w:outlineLvl w:val="9"/>
        <w:rPr>
          <w:rFonts w:hint="default" w:ascii="Times New Roman" w:hAnsi="Times New Roman" w:cs="Times New Roman"/>
          <w:sz w:val="20"/>
          <w:szCs w:val="20"/>
        </w:rPr>
      </w:pPr>
      <w:r>
        <w:rPr>
          <w:rFonts w:hint="default" w:ascii="Times New Roman" w:hAnsi="Times New Roman" w:cs="Times New Roman"/>
          <w:sz w:val="20"/>
          <w:szCs w:val="20"/>
        </w:rPr>
        <w:t>Sub-topic 1-3: Assumptions for the beam steering scenario analyses</w:t>
      </w:r>
    </w:p>
    <w:p w14:paraId="7DFCD63F">
      <w:pPr>
        <w:pageBreakBefore w:val="0"/>
        <w:kinsoku/>
        <w:wordWrap/>
        <w:overflowPunct/>
        <w:topLinePunct w:val="0"/>
        <w:autoSpaceDE/>
        <w:autoSpaceDN/>
        <w:bidi w:val="0"/>
        <w:adjustRightInd/>
        <w:snapToGrid/>
        <w:spacing w:after="120"/>
        <w:textAlignment w:val="auto"/>
        <w:outlineLvl w:val="9"/>
        <w:rPr>
          <w:rFonts w:hint="default" w:ascii="Times New Roman" w:hAnsi="Times New Roman" w:cs="Times New Roman"/>
        </w:rPr>
      </w:pPr>
      <w:r>
        <w:rPr>
          <w:rFonts w:hint="eastAsia" w:ascii="Times New Roman" w:hAnsi="Times New Roman" w:cs="Times New Roman"/>
          <w:b/>
          <w:lang w:eastAsia="zh-CN"/>
        </w:rPr>
        <w:t>Agreement</w:t>
      </w:r>
      <w:r>
        <w:rPr>
          <w:rFonts w:hint="default" w:ascii="Times New Roman" w:hAnsi="Times New Roman" w:cs="Times New Roman"/>
          <w:lang w:eastAsia="zh-CN"/>
        </w:rPr>
        <w:t>:</w:t>
      </w:r>
      <w:r>
        <w:rPr>
          <w:rFonts w:hint="default" w:ascii="Times New Roman" w:hAnsi="Times New Roman" w:cs="Times New Roman"/>
        </w:rPr>
        <w:t xml:space="preserve"> To improve simulation results alignment, the following assumptions are taken for the beam steering consideration (track changes showing delta compared to RAN4#114 agreements): </w:t>
      </w:r>
    </w:p>
    <w:p w14:paraId="5CA9FF32">
      <w:pPr>
        <w:pageBreakBefore w:val="0"/>
        <w:kinsoku/>
        <w:wordWrap/>
        <w:topLinePunct w:val="0"/>
        <w:bidi w:val="0"/>
        <w:snapToGrid/>
        <w:spacing w:after="120"/>
        <w:outlineLvl w:val="9"/>
        <w:rPr>
          <w:rFonts w:hint="default" w:ascii="Times New Roman" w:hAnsi="Times New Roman" w:cs="Times New Roman"/>
          <w:color w:val="000000" w:themeColor="text1"/>
          <w:szCs w:val="24"/>
          <w:lang w:eastAsia="zh-CN"/>
          <w14:textFill>
            <w14:solidFill>
              <w14:schemeClr w14:val="tx1"/>
            </w14:solidFill>
          </w14:textFill>
        </w:rPr>
      </w:pPr>
      <w:r>
        <w:rPr>
          <w:rFonts w:hint="default" w:ascii="Times New Roman" w:hAnsi="Times New Roman" w:cs="Times New Roman"/>
        </w:rPr>
        <w:t>D</w:t>
      </w:r>
      <w:r>
        <w:rPr>
          <w:rFonts w:hint="default" w:ascii="Times New Roman" w:hAnsi="Times New Roman" w:cs="Times New Roman"/>
          <w:color w:val="000000" w:themeColor="text1"/>
          <w:szCs w:val="24"/>
          <w:lang w:eastAsia="zh-CN"/>
          <w14:textFill>
            <w14:solidFill>
              <w14:schemeClr w14:val="tx1"/>
            </w14:solidFill>
          </w14:textFill>
        </w:rPr>
        <w:t xml:space="preserve">ata collection to prioritize the following scenarios: </w:t>
      </w:r>
    </w:p>
    <w:p w14:paraId="50F0873B">
      <w:pPr>
        <w:pStyle w:val="134"/>
        <w:pageBreakBefore w:val="0"/>
        <w:numPr>
          <w:ilvl w:val="0"/>
          <w:numId w:val="15"/>
        </w:numPr>
        <w:kinsoku/>
        <w:wordWrap/>
        <w:topLinePunct w:val="0"/>
        <w:bidi w:val="0"/>
        <w:snapToGrid/>
        <w:spacing w:after="120"/>
        <w:ind w:firstLineChars="0"/>
        <w:outlineLvl w:val="9"/>
        <w:rPr>
          <w:rFonts w:hint="default" w:ascii="Times New Roman" w:hAnsi="Times New Roman" w:cs="Times New Roman"/>
        </w:rPr>
      </w:pPr>
      <w:r>
        <w:rPr>
          <w:rFonts w:hint="default" w:ascii="Times New Roman" w:hAnsi="Times New Roman" w:cs="Times New Roman"/>
        </w:rPr>
        <w:t>Beam steering range +/- 60 degrees,</w:t>
      </w:r>
    </w:p>
    <w:p w14:paraId="5DE777ED">
      <w:pPr>
        <w:pStyle w:val="134"/>
        <w:pageBreakBefore w:val="0"/>
        <w:numPr>
          <w:ilvl w:val="0"/>
          <w:numId w:val="15"/>
        </w:numPr>
        <w:kinsoku/>
        <w:wordWrap/>
        <w:topLinePunct w:val="0"/>
        <w:bidi w:val="0"/>
        <w:snapToGrid/>
        <w:spacing w:after="120"/>
        <w:ind w:firstLineChars="0"/>
        <w:outlineLvl w:val="9"/>
        <w:rPr>
          <w:rFonts w:hint="default" w:ascii="Times New Roman" w:hAnsi="Times New Roman" w:cs="Times New Roman"/>
          <w:i/>
          <w:color w:val="0000FF"/>
        </w:rPr>
      </w:pPr>
      <w:r>
        <w:rPr>
          <w:rFonts w:hint="default" w:ascii="Times New Roman" w:hAnsi="Times New Roman" w:cs="Times New Roman"/>
        </w:rPr>
        <w:t>Reuse CLTA arrangements, e.g., same plane orientation; 10 cm offset enclosure to enclosure, etc.</w:t>
      </w:r>
    </w:p>
    <w:p w14:paraId="32B88CC2">
      <w:pPr>
        <w:pageBreakBefore w:val="0"/>
        <w:kinsoku/>
        <w:wordWrap/>
        <w:topLinePunct w:val="0"/>
        <w:bidi w:val="0"/>
        <w:snapToGrid/>
        <w:outlineLvl w:val="9"/>
        <w:rPr>
          <w:rFonts w:hint="default" w:ascii="Times New Roman" w:hAnsi="Times New Roman" w:cs="Times New Roman"/>
          <w:sz w:val="20"/>
          <w:szCs w:val="20"/>
        </w:rPr>
      </w:pPr>
      <w:r>
        <w:rPr>
          <w:rFonts w:hint="default" w:ascii="Times New Roman" w:hAnsi="Times New Roman" w:cs="Times New Roman"/>
          <w:sz w:val="20"/>
          <w:szCs w:val="20"/>
        </w:rPr>
        <w:t xml:space="preserve">Sub-topic 1-4: Capturing conclusions on Core aspects </w:t>
      </w:r>
    </w:p>
    <w:p w14:paraId="3DE3D7C5">
      <w:pPr>
        <w:pageBreakBefore w:val="0"/>
        <w:kinsoku/>
        <w:wordWrap/>
        <w:topLinePunct w:val="0"/>
        <w:bidi w:val="0"/>
        <w:snapToGrid/>
        <w:outlineLvl w:val="9"/>
        <w:rPr>
          <w:rFonts w:hint="default" w:ascii="Times New Roman" w:hAnsi="Times New Roman" w:cs="Times New Roman"/>
        </w:rPr>
      </w:pPr>
      <w:r>
        <w:rPr>
          <w:rFonts w:hint="eastAsia" w:ascii="Times New Roman" w:hAnsi="Times New Roman" w:cs="Times New Roman"/>
          <w:b/>
          <w:lang w:eastAsia="zh-CN"/>
        </w:rPr>
        <w:t>Agreement</w:t>
      </w:r>
      <w:r>
        <w:rPr>
          <w:rFonts w:hint="default" w:ascii="Times New Roman" w:hAnsi="Times New Roman" w:cs="Times New Roman"/>
          <w:lang w:eastAsia="zh-CN"/>
        </w:rPr>
        <w:t>:</w:t>
      </w:r>
      <w:r>
        <w:rPr>
          <w:rFonts w:hint="default" w:ascii="Times New Roman" w:hAnsi="Times New Roman" w:cs="Times New Roman"/>
        </w:rPr>
        <w:t xml:space="preserve"> Previous WF (R4-2502279, RAN4#114) on the timeline for BS-to-BS isolation data collection (i.e., ”</w:t>
      </w:r>
      <w:r>
        <w:rPr>
          <w:rFonts w:hint="default" w:ascii="Times New Roman" w:hAnsi="Times New Roman" w:cs="Times New Roman"/>
          <w:i/>
          <w:iCs/>
        </w:rPr>
        <w:t>conclusion on the BS-to-BS isolation analysis to be reached no later than August 2025 meeting</w:t>
      </w:r>
      <w:r>
        <w:rPr>
          <w:rFonts w:hint="default" w:ascii="Times New Roman" w:hAnsi="Times New Roman" w:cs="Times New Roman"/>
        </w:rPr>
        <w:t xml:space="preserve">”) is amended as follows: </w:t>
      </w:r>
    </w:p>
    <w:p w14:paraId="5994FA11">
      <w:pPr>
        <w:pStyle w:val="134"/>
        <w:pageBreakBefore w:val="0"/>
        <w:numPr>
          <w:ilvl w:val="0"/>
          <w:numId w:val="16"/>
        </w:numPr>
        <w:kinsoku/>
        <w:wordWrap/>
        <w:topLinePunct w:val="0"/>
        <w:bidi w:val="0"/>
        <w:snapToGrid/>
        <w:ind w:firstLineChars="0"/>
        <w:outlineLvl w:val="9"/>
        <w:rPr>
          <w:rFonts w:hint="default" w:ascii="Times New Roman" w:hAnsi="Times New Roman" w:cs="Times New Roman"/>
        </w:rPr>
      </w:pPr>
      <w:r>
        <w:rPr>
          <w:rFonts w:hint="default" w:ascii="Times New Roman" w:hAnsi="Times New Roman" w:cs="Times New Roman"/>
        </w:rPr>
        <w:t xml:space="preserve">Close BS-to-BS isolation data collection by RAN4#115 (May 2025) to allow drawing initial conclusions. </w:t>
      </w:r>
    </w:p>
    <w:p w14:paraId="7052FA34">
      <w:pPr>
        <w:pageBreakBefore w:val="0"/>
        <w:kinsoku/>
        <w:wordWrap/>
        <w:topLinePunct w:val="0"/>
        <w:bidi w:val="0"/>
        <w:snapToGrid/>
        <w:ind w:left="720"/>
        <w:outlineLvl w:val="9"/>
        <w:rPr>
          <w:rFonts w:hint="default" w:ascii="Times New Roman" w:hAnsi="Times New Roman" w:cs="Times New Roman"/>
        </w:rPr>
      </w:pPr>
      <w:r>
        <w:rPr>
          <w:rFonts w:hint="default" w:ascii="Times New Roman" w:hAnsi="Times New Roman" w:cs="Times New Roman"/>
        </w:rPr>
        <w:t>NOTE: Further BS-to-BS isolation data provision during RAN4#116 (August 2025) is not precluded.</w:t>
      </w:r>
    </w:p>
    <w:p w14:paraId="4918AEAF">
      <w:pPr>
        <w:pStyle w:val="134"/>
        <w:pageBreakBefore w:val="0"/>
        <w:numPr>
          <w:ilvl w:val="0"/>
          <w:numId w:val="16"/>
        </w:numPr>
        <w:kinsoku/>
        <w:wordWrap/>
        <w:topLinePunct w:val="0"/>
        <w:bidi w:val="0"/>
        <w:snapToGrid/>
        <w:ind w:firstLineChars="0"/>
        <w:outlineLvl w:val="9"/>
        <w:rPr>
          <w:rFonts w:hint="default" w:ascii="Times New Roman" w:hAnsi="Times New Roman" w:cs="Times New Roman"/>
        </w:rPr>
      </w:pPr>
      <w:r>
        <w:rPr>
          <w:rFonts w:hint="default" w:ascii="Times New Roman" w:hAnsi="Times New Roman" w:cs="Times New Roman"/>
        </w:rPr>
        <w:t>For RAN4#115 (May 2025) provide Draft CRs to TR 37.941 with the initial summary of the findings on the following areas (work-split proposed below):</w:t>
      </w:r>
    </w:p>
    <w:p w14:paraId="7C3CDDF6">
      <w:pPr>
        <w:pStyle w:val="134"/>
        <w:pageBreakBefore w:val="0"/>
        <w:numPr>
          <w:ilvl w:val="1"/>
          <w:numId w:val="17"/>
        </w:numPr>
        <w:kinsoku/>
        <w:wordWrap/>
        <w:topLinePunct w:val="0"/>
        <w:bidi w:val="0"/>
        <w:snapToGrid/>
        <w:ind w:firstLineChars="0"/>
        <w:outlineLvl w:val="9"/>
        <w:rPr>
          <w:rFonts w:hint="default" w:ascii="Times New Roman" w:hAnsi="Times New Roman" w:cs="Times New Roman"/>
        </w:rPr>
      </w:pPr>
      <w:r>
        <w:rPr>
          <w:rFonts w:hint="default" w:ascii="Times New Roman" w:hAnsi="Times New Roman" w:cs="Times New Roman"/>
        </w:rPr>
        <w:t>Background and motivation for CLTA-alternatives discussion (Huawei),</w:t>
      </w:r>
    </w:p>
    <w:p w14:paraId="16BD0CE2">
      <w:pPr>
        <w:pStyle w:val="134"/>
        <w:pageBreakBefore w:val="0"/>
        <w:numPr>
          <w:ilvl w:val="1"/>
          <w:numId w:val="17"/>
        </w:numPr>
        <w:kinsoku/>
        <w:wordWrap/>
        <w:topLinePunct w:val="0"/>
        <w:bidi w:val="0"/>
        <w:snapToGrid/>
        <w:ind w:firstLineChars="0"/>
        <w:outlineLvl w:val="9"/>
        <w:rPr>
          <w:rFonts w:hint="default" w:ascii="Times New Roman" w:hAnsi="Times New Roman" w:cs="Times New Roman"/>
        </w:rPr>
      </w:pPr>
      <w:r>
        <w:rPr>
          <w:rFonts w:hint="default" w:ascii="Times New Roman" w:hAnsi="Times New Roman" w:cs="Times New Roman"/>
        </w:rPr>
        <w:t>BS-to-BS isolation analysis, including related assumptions (Ericsson),</w:t>
      </w:r>
    </w:p>
    <w:p w14:paraId="0CDC2CC6">
      <w:pPr>
        <w:pStyle w:val="134"/>
        <w:pageBreakBefore w:val="0"/>
        <w:numPr>
          <w:ilvl w:val="1"/>
          <w:numId w:val="17"/>
        </w:numPr>
        <w:kinsoku/>
        <w:wordWrap/>
        <w:topLinePunct w:val="0"/>
        <w:bidi w:val="0"/>
        <w:snapToGrid/>
        <w:ind w:firstLineChars="0"/>
        <w:outlineLvl w:val="9"/>
        <w:rPr>
          <w:rFonts w:hint="default" w:ascii="Times New Roman" w:hAnsi="Times New Roman" w:cs="Times New Roman"/>
        </w:rPr>
      </w:pPr>
      <w:r>
        <w:rPr>
          <w:rFonts w:hint="default" w:ascii="Times New Roman" w:hAnsi="Times New Roman" w:cs="Times New Roman"/>
        </w:rPr>
        <w:t>Impact of BS-to-BS isolation analysis on the legacy co-location requirements (ZTE),</w:t>
      </w:r>
    </w:p>
    <w:p w14:paraId="476FE9DA">
      <w:pPr>
        <w:pStyle w:val="134"/>
        <w:pageBreakBefore w:val="0"/>
        <w:numPr>
          <w:ilvl w:val="1"/>
          <w:numId w:val="17"/>
        </w:numPr>
        <w:kinsoku/>
        <w:wordWrap/>
        <w:topLinePunct w:val="0"/>
        <w:bidi w:val="0"/>
        <w:snapToGrid/>
        <w:ind w:firstLineChars="0"/>
        <w:outlineLvl w:val="9"/>
        <w:rPr>
          <w:rFonts w:hint="default" w:ascii="Times New Roman" w:hAnsi="Times New Roman" w:cs="Times New Roman"/>
        </w:rPr>
      </w:pPr>
      <w:r>
        <w:rPr>
          <w:rFonts w:hint="default" w:ascii="Times New Roman" w:hAnsi="Times New Roman" w:cs="Times New Roman"/>
        </w:rPr>
        <w:t>CLTA alternatives: horn antenna (Nokia).</w:t>
      </w:r>
    </w:p>
    <w:p w14:paraId="652B9E0A">
      <w:pPr>
        <w:pageBreakBefore w:val="0"/>
        <w:kinsoku/>
        <w:wordWrap/>
        <w:topLinePunct w:val="0"/>
        <w:bidi w:val="0"/>
        <w:snapToGrid/>
        <w:outlineLvl w:val="9"/>
        <w:rPr>
          <w:rFonts w:hint="default" w:ascii="Times New Roman" w:hAnsi="Times New Roman" w:cs="Times New Roman"/>
          <w:sz w:val="20"/>
          <w:szCs w:val="20"/>
        </w:rPr>
      </w:pPr>
      <w:r>
        <w:rPr>
          <w:rFonts w:hint="default" w:ascii="Times New Roman" w:hAnsi="Times New Roman" w:cs="Times New Roman"/>
          <w:sz w:val="20"/>
          <w:szCs w:val="20"/>
        </w:rPr>
        <w:t>Sub-topic 1-5: BS-to-BS isolation analysis</w:t>
      </w:r>
    </w:p>
    <w:p w14:paraId="192E8486">
      <w:pPr>
        <w:pageBreakBefore w:val="0"/>
        <w:kinsoku/>
        <w:wordWrap/>
        <w:topLinePunct w:val="0"/>
        <w:bidi w:val="0"/>
        <w:snapToGrid/>
        <w:outlineLvl w:val="9"/>
        <w:rPr>
          <w:rFonts w:hint="default" w:ascii="Times New Roman" w:hAnsi="Times New Roman" w:cs="Times New Roman"/>
        </w:rPr>
      </w:pPr>
      <w:r>
        <w:rPr>
          <w:rFonts w:hint="eastAsia" w:ascii="Times New Roman" w:hAnsi="Times New Roman" w:cs="Times New Roman"/>
          <w:b/>
          <w:lang w:eastAsia="zh-CN"/>
        </w:rPr>
        <w:t>Agreement</w:t>
      </w:r>
      <w:r>
        <w:rPr>
          <w:rFonts w:hint="default" w:ascii="Times New Roman" w:hAnsi="Times New Roman" w:cs="Times New Roman"/>
          <w:lang w:eastAsia="zh-CN"/>
        </w:rPr>
        <w:t xml:space="preserve">: Current baseline for </w:t>
      </w:r>
      <w:r>
        <w:rPr>
          <w:rFonts w:hint="default" w:ascii="Times New Roman" w:hAnsi="Times New Roman" w:cs="Times New Roman"/>
        </w:rPr>
        <w:t>BS-to-BS isolation analysis is the measurement and simulation data as captured in the previous WF (i.e., R4-2502279, RAN4#114).</w:t>
      </w:r>
    </w:p>
    <w:p w14:paraId="3BA85A31">
      <w:pPr>
        <w:pageBreakBefore w:val="0"/>
        <w:kinsoku/>
        <w:wordWrap/>
        <w:topLinePunct w:val="0"/>
        <w:bidi w:val="0"/>
        <w:snapToGrid/>
        <w:outlineLvl w:val="9"/>
        <w:rPr>
          <w:rFonts w:hint="default" w:ascii="Times New Roman" w:hAnsi="Times New Roman" w:cs="Times New Roman"/>
          <w:lang w:val="en-US" w:eastAsia="zh-CN"/>
        </w:rPr>
      </w:pPr>
    </w:p>
    <w:p w14:paraId="78E251E8">
      <w:pPr>
        <w:pageBreakBefore w:val="0"/>
        <w:kinsoku/>
        <w:wordWrap/>
        <w:topLinePunct w:val="0"/>
        <w:bidi w:val="0"/>
        <w:snapToGrid/>
        <w:outlineLvl w:val="9"/>
        <w:rPr>
          <w:rFonts w:hint="default" w:ascii="Times New Roman" w:hAnsi="Times New Roman" w:cs="Times New Roman"/>
          <w:lang w:val="en-US" w:eastAsia="zh-CN"/>
        </w:rPr>
      </w:pPr>
      <w:r>
        <w:rPr>
          <w:rFonts w:hint="eastAsia" w:ascii="Times New Roman" w:hAnsi="Times New Roman" w:cs="Times New Roman"/>
          <w:b/>
          <w:bCs/>
          <w:lang w:val="en-US" w:eastAsia="zh-CN"/>
        </w:rPr>
        <w:t xml:space="preserve">Core part for </w:t>
      </w:r>
      <w:r>
        <w:rPr>
          <w:rFonts w:hint="default" w:ascii="Times New Roman" w:hAnsi="Times New Roman" w:cs="Times New Roman"/>
          <w:b/>
          <w:bCs/>
          <w:lang w:val="en-US" w:eastAsia="zh-CN"/>
        </w:rPr>
        <w:t xml:space="preserve">Tx spurious emissions co-existence limits re-evaluation: </w:t>
      </w:r>
    </w:p>
    <w:p w14:paraId="6728A0A6">
      <w:pPr>
        <w:pageBreakBefore w:val="0"/>
        <w:kinsoku/>
        <w:wordWrap/>
        <w:topLinePunct w:val="0"/>
        <w:bidi w:val="0"/>
        <w:snapToGrid/>
        <w:outlineLvl w:val="9"/>
        <w:rPr>
          <w:rFonts w:hint="default" w:ascii="Times New Roman" w:hAnsi="Times New Roman" w:cs="Times New Roman"/>
          <w:sz w:val="20"/>
          <w:szCs w:val="20"/>
        </w:rPr>
      </w:pPr>
      <w:r>
        <w:rPr>
          <w:rFonts w:hint="default" w:ascii="Times New Roman" w:hAnsi="Times New Roman" w:cs="Times New Roman"/>
          <w:sz w:val="20"/>
          <w:szCs w:val="20"/>
        </w:rPr>
        <w:t>Sub-topic 2-1: Evaluation methodology</w:t>
      </w:r>
    </w:p>
    <w:p w14:paraId="430FE559">
      <w:pPr>
        <w:pageBreakBefore w:val="0"/>
        <w:kinsoku/>
        <w:wordWrap/>
        <w:overflowPunct/>
        <w:topLinePunct w:val="0"/>
        <w:autoSpaceDE/>
        <w:autoSpaceDN/>
        <w:bidi w:val="0"/>
        <w:adjustRightInd/>
        <w:snapToGrid/>
        <w:spacing w:after="120"/>
        <w:textAlignment w:val="auto"/>
        <w:outlineLvl w:val="9"/>
        <w:rPr>
          <w:rFonts w:hint="default" w:ascii="Times New Roman" w:hAnsi="Times New Roman" w:cs="Times New Roman"/>
        </w:rPr>
      </w:pPr>
      <w:r>
        <w:rPr>
          <w:rFonts w:hint="eastAsia" w:ascii="Times New Roman" w:hAnsi="Times New Roman" w:cs="Times New Roman"/>
          <w:b/>
          <w:lang w:eastAsia="zh-CN"/>
        </w:rPr>
        <w:t>Agreement</w:t>
      </w:r>
      <w:r>
        <w:rPr>
          <w:rFonts w:hint="default" w:ascii="Times New Roman" w:hAnsi="Times New Roman" w:cs="Times New Roman"/>
          <w:lang w:eastAsia="zh-CN"/>
        </w:rPr>
        <w:t>:</w:t>
      </w:r>
      <w:r>
        <w:rPr>
          <w:rFonts w:hint="default" w:ascii="Times New Roman" w:hAnsi="Times New Roman" w:cs="Times New Roman"/>
        </w:rPr>
        <w:t xml:space="preserve"> </w:t>
      </w:r>
    </w:p>
    <w:p w14:paraId="05489AD4">
      <w:pPr>
        <w:pStyle w:val="134"/>
        <w:pageBreakBefore w:val="0"/>
        <w:numPr>
          <w:ilvl w:val="0"/>
          <w:numId w:val="14"/>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eastAsia="宋体" w:cs="Times New Roman"/>
          <w:color w:val="000000" w:themeColor="text1"/>
          <w:szCs w:val="24"/>
          <w:lang w:eastAsia="zh-CN"/>
          <w14:textFill>
            <w14:solidFill>
              <w14:schemeClr w14:val="tx1"/>
            </w14:solidFill>
          </w14:textFill>
        </w:rPr>
      </w:pPr>
      <w:r>
        <w:rPr>
          <w:rFonts w:hint="default" w:ascii="Times New Roman" w:hAnsi="Times New Roman" w:eastAsia="宋体" w:cs="Times New Roman"/>
          <w:color w:val="000000" w:themeColor="text1"/>
          <w:szCs w:val="24"/>
          <w:lang w:eastAsia="zh-CN"/>
          <w14:textFill>
            <w14:solidFill>
              <w14:schemeClr w14:val="tx1"/>
            </w14:solidFill>
          </w14:textFill>
        </w:rPr>
        <w:t xml:space="preserve">Consider MCL methodology, including AAS and non-AAS implementations. </w:t>
      </w:r>
    </w:p>
    <w:p w14:paraId="4D685A3B">
      <w:pPr>
        <w:pStyle w:val="134"/>
        <w:pageBreakBefore w:val="0"/>
        <w:numPr>
          <w:ilvl w:val="1"/>
          <w:numId w:val="14"/>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eastAsia="宋体" w:cs="Times New Roman"/>
          <w:color w:val="000000" w:themeColor="text1"/>
          <w:szCs w:val="24"/>
          <w:lang w:eastAsia="zh-CN"/>
          <w14:textFill>
            <w14:solidFill>
              <w14:schemeClr w14:val="tx1"/>
            </w14:solidFill>
          </w14:textFill>
        </w:rPr>
      </w:pPr>
      <w:r>
        <w:rPr>
          <w:rFonts w:hint="default" w:ascii="Times New Roman" w:hAnsi="Times New Roman" w:eastAsia="宋体" w:cs="Times New Roman"/>
          <w:color w:val="000000" w:themeColor="text1"/>
          <w:szCs w:val="24"/>
          <w:lang w:eastAsia="zh-CN"/>
          <w14:textFill>
            <w14:solidFill>
              <w14:schemeClr w14:val="tx1"/>
            </w14:solidFill>
          </w14:textFill>
        </w:rPr>
        <w:t xml:space="preserve">TR 25.942 is used as reference for the methodology derivation. </w:t>
      </w:r>
    </w:p>
    <w:p w14:paraId="375A7183">
      <w:pPr>
        <w:pStyle w:val="134"/>
        <w:pageBreakBefore w:val="0"/>
        <w:numPr>
          <w:ilvl w:val="0"/>
          <w:numId w:val="14"/>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eastAsia="宋体" w:cs="Times New Roman"/>
          <w:color w:val="000000" w:themeColor="text1"/>
          <w:szCs w:val="24"/>
          <w:lang w:eastAsia="zh-CN"/>
          <w14:textFill>
            <w14:solidFill>
              <w14:schemeClr w14:val="tx1"/>
            </w14:solidFill>
          </w14:textFill>
        </w:rPr>
      </w:pPr>
      <w:r>
        <w:rPr>
          <w:rFonts w:hint="default" w:ascii="Times New Roman" w:hAnsi="Times New Roman" w:eastAsia="宋体" w:cs="Times New Roman"/>
          <w:color w:val="000000" w:themeColor="text1"/>
          <w:szCs w:val="24"/>
          <w:lang w:eastAsia="zh-CN"/>
          <w14:textFill>
            <w14:solidFill>
              <w14:schemeClr w14:val="tx1"/>
            </w14:solidFill>
          </w14:textFill>
        </w:rPr>
        <w:t xml:space="preserve">System level evaluations are not precluded. </w:t>
      </w:r>
      <w:r>
        <w:rPr>
          <w:rFonts w:hint="default" w:ascii="Times New Roman" w:hAnsi="Times New Roman" w:cs="Times New Roman"/>
          <w:color w:val="000000" w:themeColor="text1"/>
          <w:szCs w:val="24"/>
          <w:lang w:eastAsia="zh-CN"/>
          <w14:textFill>
            <w14:solidFill>
              <w14:schemeClr w14:val="tx1"/>
            </w14:solidFill>
          </w14:textFill>
        </w:rPr>
        <w:t xml:space="preserve"> </w:t>
      </w:r>
    </w:p>
    <w:p w14:paraId="23C16D88">
      <w:pPr>
        <w:pStyle w:val="134"/>
        <w:pageBreakBefore w:val="0"/>
        <w:numPr>
          <w:ilvl w:val="0"/>
          <w:numId w:val="14"/>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eastAsia="宋体" w:cs="Times New Roman"/>
          <w:color w:val="000000" w:themeColor="text1"/>
          <w:szCs w:val="24"/>
          <w:lang w:eastAsia="zh-CN"/>
          <w14:textFill>
            <w14:solidFill>
              <w14:schemeClr w14:val="tx1"/>
            </w14:solidFill>
          </w14:textFill>
        </w:rPr>
      </w:pPr>
      <w:r>
        <w:rPr>
          <w:rFonts w:hint="default" w:ascii="Times New Roman" w:hAnsi="Times New Roman" w:eastAsia="宋体" w:cs="Times New Roman"/>
          <w:color w:val="000000" w:themeColor="text1"/>
          <w:szCs w:val="24"/>
          <w:lang w:eastAsia="zh-CN"/>
          <w14:textFill>
            <w14:solidFill>
              <w14:schemeClr w14:val="tx1"/>
            </w14:solidFill>
          </w14:textFill>
        </w:rPr>
        <w:t>Aim Rel-19 conclusion.</w:t>
      </w:r>
    </w:p>
    <w:p w14:paraId="4A15356A">
      <w:pPr>
        <w:pageBreakBefore w:val="0"/>
        <w:kinsoku/>
        <w:wordWrap/>
        <w:topLinePunct w:val="0"/>
        <w:bidi w:val="0"/>
        <w:snapToGrid/>
        <w:spacing w:after="120"/>
        <w:outlineLvl w:val="9"/>
        <w:rPr>
          <w:rFonts w:hint="default" w:ascii="Times New Roman" w:hAnsi="Times New Roman" w:cs="Times New Roman"/>
          <w:color w:val="000000" w:themeColor="text1"/>
          <w:szCs w:val="24"/>
          <w:lang w:eastAsia="zh-CN"/>
          <w14:textFill>
            <w14:solidFill>
              <w14:schemeClr w14:val="tx1"/>
            </w14:solidFill>
          </w14:textFill>
        </w:rPr>
      </w:pPr>
    </w:p>
    <w:p w14:paraId="2AAEEF1D">
      <w:pPr>
        <w:pageBreakBefore w:val="0"/>
        <w:kinsoku/>
        <w:wordWrap/>
        <w:topLinePunct w:val="0"/>
        <w:bidi w:val="0"/>
        <w:snapToGrid/>
        <w:outlineLvl w:val="9"/>
        <w:rPr>
          <w:rFonts w:hint="default" w:ascii="Times New Roman" w:hAnsi="Times New Roman" w:cs="Times New Roman"/>
          <w:sz w:val="20"/>
          <w:szCs w:val="20"/>
        </w:rPr>
      </w:pPr>
      <w:r>
        <w:rPr>
          <w:rFonts w:hint="default" w:ascii="Times New Roman" w:hAnsi="Times New Roman" w:cs="Times New Roman"/>
          <w:sz w:val="20"/>
          <w:szCs w:val="20"/>
        </w:rPr>
        <w:t>Sub-topic 2-2: Network layout</w:t>
      </w:r>
    </w:p>
    <w:p w14:paraId="2CB6730B">
      <w:pPr>
        <w:pageBreakBefore w:val="0"/>
        <w:kinsoku/>
        <w:wordWrap/>
        <w:overflowPunct/>
        <w:topLinePunct w:val="0"/>
        <w:autoSpaceDE/>
        <w:autoSpaceDN/>
        <w:bidi w:val="0"/>
        <w:adjustRightInd/>
        <w:snapToGrid/>
        <w:spacing w:after="120"/>
        <w:textAlignment w:val="auto"/>
        <w:outlineLvl w:val="9"/>
        <w:rPr>
          <w:rFonts w:hint="default" w:ascii="Times New Roman" w:hAnsi="Times New Roman" w:cs="Times New Roman"/>
        </w:rPr>
      </w:pPr>
      <w:r>
        <w:rPr>
          <w:rFonts w:hint="eastAsia" w:ascii="Times New Roman" w:hAnsi="Times New Roman" w:cs="Times New Roman"/>
          <w:b/>
          <w:lang w:eastAsia="zh-CN"/>
        </w:rPr>
        <w:t>Agreement</w:t>
      </w:r>
      <w:r>
        <w:rPr>
          <w:rFonts w:hint="default" w:ascii="Times New Roman" w:hAnsi="Times New Roman" w:cs="Times New Roman"/>
          <w:lang w:eastAsia="zh-CN"/>
        </w:rPr>
        <w:t>:</w:t>
      </w:r>
      <w:r>
        <w:rPr>
          <w:rFonts w:hint="default" w:ascii="Times New Roman" w:hAnsi="Times New Roman" w:cs="Times New Roman"/>
        </w:rPr>
        <w:t xml:space="preserve"> </w:t>
      </w:r>
    </w:p>
    <w:p w14:paraId="2BD1A124">
      <w:pPr>
        <w:pStyle w:val="240"/>
        <w:pageBreakBefore w:val="0"/>
        <w:kinsoku/>
        <w:wordWrap/>
        <w:topLinePunct w:val="0"/>
        <w:bidi w:val="0"/>
        <w:snapToGrid/>
        <w:outlineLvl w:val="9"/>
        <w:rPr>
          <w:rFonts w:hint="default" w:ascii="Times New Roman" w:hAnsi="Times New Roman" w:cs="Times New Roman"/>
        </w:rPr>
      </w:pPr>
      <w:r>
        <w:rPr>
          <w:rFonts w:hint="default" w:ascii="Times New Roman" w:hAnsi="Times New Roman" w:cs="Times New Roman"/>
        </w:rPr>
        <w:t>To determine coupling loss between the aggressor BS and victim UE/BS, the following is the starting point:</w:t>
      </w:r>
    </w:p>
    <w:p w14:paraId="6C0C6AFF">
      <w:pPr>
        <w:pStyle w:val="240"/>
        <w:pageBreakBefore w:val="0"/>
        <w:numPr>
          <w:ilvl w:val="0"/>
          <w:numId w:val="14"/>
        </w:numPr>
        <w:kinsoku/>
        <w:wordWrap/>
        <w:topLinePunct w:val="0"/>
        <w:bidi w:val="0"/>
        <w:snapToGrid/>
        <w:outlineLvl w:val="9"/>
        <w:rPr>
          <w:rFonts w:hint="default" w:ascii="Times New Roman" w:hAnsi="Times New Roman" w:cs="Times New Roman"/>
        </w:rPr>
      </w:pPr>
      <w:r>
        <w:rPr>
          <w:rFonts w:hint="default" w:ascii="Times New Roman" w:hAnsi="Times New Roman" w:cs="Times New Roman"/>
        </w:rPr>
        <w:t>For UL BS-BS coexistence, 100% grid shift as a starting point; evaluations o</w:t>
      </w:r>
      <w:r>
        <w:rPr>
          <w:rFonts w:hint="default" w:ascii="Times New Roman" w:hAnsi="Times New Roman" w:cs="Times New Roman"/>
          <w:lang w:val="en-US"/>
        </w:rPr>
        <w:t>f grid shift of 50% is not precluded</w:t>
      </w:r>
      <w:r>
        <w:rPr>
          <w:rFonts w:hint="default" w:ascii="Times New Roman" w:hAnsi="Times New Roman" w:cs="Times New Roman"/>
        </w:rPr>
        <w:t>.</w:t>
      </w:r>
    </w:p>
    <w:p w14:paraId="22017371">
      <w:pPr>
        <w:pageBreakBefore w:val="0"/>
        <w:kinsoku/>
        <w:wordWrap/>
        <w:topLinePunct w:val="0"/>
        <w:bidi w:val="0"/>
        <w:snapToGrid/>
        <w:outlineLvl w:val="9"/>
        <w:rPr>
          <w:rFonts w:hint="default" w:ascii="Times New Roman" w:hAnsi="Times New Roman" w:cs="Times New Roman"/>
          <w:sz w:val="24"/>
          <w:szCs w:val="16"/>
        </w:rPr>
      </w:pPr>
    </w:p>
    <w:p w14:paraId="426D627E">
      <w:pPr>
        <w:pageBreakBefore w:val="0"/>
        <w:kinsoku/>
        <w:wordWrap/>
        <w:topLinePunct w:val="0"/>
        <w:bidi w:val="0"/>
        <w:snapToGrid/>
        <w:outlineLvl w:val="9"/>
        <w:rPr>
          <w:rFonts w:hint="default" w:ascii="Times New Roman" w:hAnsi="Times New Roman" w:cs="Times New Roman"/>
          <w:sz w:val="20"/>
          <w:szCs w:val="20"/>
        </w:rPr>
      </w:pPr>
      <w:r>
        <w:rPr>
          <w:rFonts w:hint="default" w:ascii="Times New Roman" w:hAnsi="Times New Roman" w:cs="Times New Roman"/>
          <w:sz w:val="20"/>
          <w:szCs w:val="20"/>
        </w:rPr>
        <w:t>Sub-topic 2-3: BS classes consideration</w:t>
      </w:r>
    </w:p>
    <w:p w14:paraId="526D7912">
      <w:pPr>
        <w:pageBreakBefore w:val="0"/>
        <w:kinsoku/>
        <w:wordWrap/>
        <w:overflowPunct/>
        <w:topLinePunct w:val="0"/>
        <w:autoSpaceDE/>
        <w:autoSpaceDN/>
        <w:bidi w:val="0"/>
        <w:adjustRightInd/>
        <w:snapToGrid/>
        <w:spacing w:after="120"/>
        <w:textAlignment w:val="auto"/>
        <w:outlineLvl w:val="9"/>
        <w:rPr>
          <w:rFonts w:hint="default" w:ascii="Times New Roman" w:hAnsi="Times New Roman" w:cs="Times New Roman"/>
        </w:rPr>
      </w:pPr>
      <w:r>
        <w:rPr>
          <w:rFonts w:hint="eastAsia" w:ascii="Times New Roman" w:hAnsi="Times New Roman" w:cs="Times New Roman"/>
          <w:b/>
          <w:lang w:eastAsia="zh-CN"/>
        </w:rPr>
        <w:t>Agreement</w:t>
      </w:r>
      <w:r>
        <w:rPr>
          <w:rFonts w:hint="default" w:ascii="Times New Roman" w:hAnsi="Times New Roman" w:cs="Times New Roman"/>
          <w:lang w:eastAsia="zh-CN"/>
        </w:rPr>
        <w:t>:</w:t>
      </w:r>
      <w:r>
        <w:rPr>
          <w:rFonts w:hint="default" w:ascii="Times New Roman" w:hAnsi="Times New Roman" w:cs="Times New Roman"/>
        </w:rPr>
        <w:t xml:space="preserve"> </w:t>
      </w:r>
    </w:p>
    <w:p w14:paraId="68A97620">
      <w:pPr>
        <w:pageBreakBefore w:val="0"/>
        <w:kinsoku/>
        <w:wordWrap/>
        <w:overflowPunct/>
        <w:topLinePunct w:val="0"/>
        <w:autoSpaceDE/>
        <w:autoSpaceDN/>
        <w:bidi w:val="0"/>
        <w:adjustRightInd/>
        <w:snapToGrid/>
        <w:spacing w:after="120"/>
        <w:textAlignment w:val="auto"/>
        <w:outlineLvl w:val="9"/>
        <w:rPr>
          <w:rFonts w:hint="default" w:ascii="Times New Roman" w:hAnsi="Times New Roman" w:cs="Times New Roman"/>
        </w:rPr>
      </w:pPr>
      <w:r>
        <w:rPr>
          <w:rFonts w:hint="default" w:ascii="Times New Roman" w:hAnsi="Times New Roman" w:cs="Times New Roman"/>
        </w:rPr>
        <w:t>While the legacy Tx spur co-existence limits are defined without distinctions of the BS class, further investigate whether and how to differentiate the spurious emission requirements based on BS classes.</w:t>
      </w:r>
    </w:p>
    <w:p w14:paraId="7C0170E7">
      <w:pPr>
        <w:pageBreakBefore w:val="0"/>
        <w:kinsoku/>
        <w:wordWrap/>
        <w:overflowPunct/>
        <w:topLinePunct w:val="0"/>
        <w:autoSpaceDE/>
        <w:autoSpaceDN/>
        <w:bidi w:val="0"/>
        <w:adjustRightInd/>
        <w:snapToGrid/>
        <w:spacing w:after="120"/>
        <w:textAlignment w:val="auto"/>
        <w:outlineLvl w:val="9"/>
        <w:rPr>
          <w:rFonts w:hint="default" w:ascii="Times New Roman" w:hAnsi="Times New Roman" w:cs="Times New Roman"/>
          <w:lang w:eastAsia="zh-CN"/>
        </w:rPr>
      </w:pPr>
      <w:r>
        <w:rPr>
          <w:rFonts w:hint="default" w:ascii="Times New Roman" w:hAnsi="Times New Roman" w:cs="Times New Roman"/>
        </w:rPr>
        <w:t xml:space="preserve">For system level evaluations: </w:t>
      </w:r>
    </w:p>
    <w:p w14:paraId="2FB85591">
      <w:pPr>
        <w:pStyle w:val="134"/>
        <w:pageBreakBefore w:val="0"/>
        <w:numPr>
          <w:ilvl w:val="1"/>
          <w:numId w:val="18"/>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cs="Times New Roman"/>
          <w:lang w:eastAsia="zh-CN"/>
        </w:rPr>
      </w:pPr>
      <w:r>
        <w:rPr>
          <w:rFonts w:hint="default" w:ascii="Times New Roman" w:hAnsi="Times New Roman" w:cs="Times New Roman"/>
          <w:lang w:val="en-US" w:eastAsia="zh-CN"/>
        </w:rPr>
        <w:t>For the protection of BS receiver, to prioritize the Macro BS scenario;</w:t>
      </w:r>
    </w:p>
    <w:p w14:paraId="7CF075E5">
      <w:pPr>
        <w:pStyle w:val="134"/>
        <w:pageBreakBefore w:val="0"/>
        <w:numPr>
          <w:ilvl w:val="1"/>
          <w:numId w:val="18"/>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cs="Times New Roman"/>
          <w:lang w:eastAsia="zh-CN"/>
        </w:rPr>
      </w:pPr>
      <w:r>
        <w:rPr>
          <w:rFonts w:hint="default" w:ascii="Times New Roman" w:hAnsi="Times New Roman" w:cs="Times New Roman"/>
          <w:lang w:val="en-US" w:eastAsia="zh-CN"/>
        </w:rPr>
        <w:t>For the protection of UE receiver, to start with Macro BS scenario; other BS class analyses are not precluded.</w:t>
      </w:r>
    </w:p>
    <w:p w14:paraId="1CEF080D">
      <w:pPr>
        <w:pageBreakBefore w:val="0"/>
        <w:kinsoku/>
        <w:wordWrap/>
        <w:topLinePunct w:val="0"/>
        <w:bidi w:val="0"/>
        <w:snapToGrid/>
        <w:outlineLvl w:val="9"/>
        <w:rPr>
          <w:rFonts w:hint="default" w:ascii="Times New Roman" w:hAnsi="Times New Roman" w:cs="Times New Roman"/>
          <w:lang w:val="en-US" w:eastAsia="zh-CN"/>
        </w:rPr>
      </w:pPr>
    </w:p>
    <w:p w14:paraId="0E37C34C">
      <w:pPr>
        <w:pageBreakBefore w:val="0"/>
        <w:kinsoku/>
        <w:wordWrap/>
        <w:topLinePunct w:val="0"/>
        <w:bidi w:val="0"/>
        <w:snapToGrid/>
        <w:outlineLvl w:val="9"/>
        <w:rPr>
          <w:rFonts w:hint="default" w:ascii="Times New Roman" w:hAnsi="Times New Roman" w:cs="Times New Roman"/>
          <w:sz w:val="20"/>
          <w:szCs w:val="20"/>
        </w:rPr>
      </w:pPr>
      <w:r>
        <w:rPr>
          <w:rFonts w:hint="default" w:ascii="Times New Roman" w:hAnsi="Times New Roman" w:cs="Times New Roman"/>
          <w:sz w:val="20"/>
          <w:szCs w:val="20"/>
        </w:rPr>
        <w:t xml:space="preserve">Sub-topic 2-4: Frequency bands </w:t>
      </w:r>
      <w:r>
        <w:rPr>
          <w:rFonts w:hint="default" w:ascii="Times New Roman" w:hAnsi="Times New Roman" w:cs="Times New Roman"/>
          <w:sz w:val="20"/>
          <w:szCs w:val="20"/>
          <w:lang w:val="en-US"/>
        </w:rPr>
        <w:t>for co-existence work</w:t>
      </w:r>
    </w:p>
    <w:p w14:paraId="79DCD997">
      <w:pPr>
        <w:pageBreakBefore w:val="0"/>
        <w:kinsoku/>
        <w:wordWrap/>
        <w:overflowPunct/>
        <w:topLinePunct w:val="0"/>
        <w:autoSpaceDE/>
        <w:autoSpaceDN/>
        <w:bidi w:val="0"/>
        <w:adjustRightInd/>
        <w:snapToGrid/>
        <w:spacing w:after="120"/>
        <w:textAlignment w:val="auto"/>
        <w:outlineLvl w:val="9"/>
        <w:rPr>
          <w:rFonts w:hint="default" w:ascii="Times New Roman" w:hAnsi="Times New Roman" w:cs="Times New Roman"/>
        </w:rPr>
      </w:pPr>
      <w:r>
        <w:rPr>
          <w:rFonts w:hint="eastAsia" w:ascii="Times New Roman" w:hAnsi="Times New Roman" w:cs="Times New Roman"/>
          <w:b/>
          <w:lang w:eastAsia="zh-CN"/>
        </w:rPr>
        <w:t>Agreement</w:t>
      </w:r>
      <w:r>
        <w:rPr>
          <w:rFonts w:hint="default" w:ascii="Times New Roman" w:hAnsi="Times New Roman" w:cs="Times New Roman"/>
          <w:lang w:eastAsia="zh-CN"/>
        </w:rPr>
        <w:t>:</w:t>
      </w:r>
      <w:r>
        <w:rPr>
          <w:rFonts w:hint="default" w:ascii="Times New Roman" w:hAnsi="Times New Roman" w:cs="Times New Roman"/>
        </w:rPr>
        <w:t xml:space="preserve"> </w:t>
      </w:r>
    </w:p>
    <w:p w14:paraId="3D63952F">
      <w:pPr>
        <w:pStyle w:val="134"/>
        <w:pageBreakBefore w:val="0"/>
        <w:numPr>
          <w:ilvl w:val="0"/>
          <w:numId w:val="19"/>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cs="Times New Roman"/>
        </w:rPr>
      </w:pPr>
      <w:r>
        <w:rPr>
          <w:rFonts w:hint="default" w:ascii="Times New Roman" w:hAnsi="Times New Roman" w:cs="Times New Roman"/>
        </w:rPr>
        <w:t>Aggressor carrier frequencies: prioritize 2 GHz, 3.5 GHz,</w:t>
      </w:r>
    </w:p>
    <w:p w14:paraId="185EAFC6">
      <w:pPr>
        <w:pStyle w:val="134"/>
        <w:pageBreakBefore w:val="0"/>
        <w:numPr>
          <w:ilvl w:val="0"/>
          <w:numId w:val="19"/>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cs="Times New Roman"/>
        </w:rPr>
      </w:pPr>
      <w:r>
        <w:rPr>
          <w:rFonts w:hint="default" w:ascii="Times New Roman" w:hAnsi="Times New Roman" w:cs="Times New Roman"/>
        </w:rPr>
        <w:t xml:space="preserve">Victim frequency bands: prioritize lower bound frequency of band n104, i.e., 6425 MHz. </w:t>
      </w:r>
    </w:p>
    <w:p w14:paraId="0068D8F1">
      <w:pPr>
        <w:pageBreakBefore w:val="0"/>
        <w:kinsoku/>
        <w:wordWrap/>
        <w:overflowPunct/>
        <w:topLinePunct w:val="0"/>
        <w:autoSpaceDE/>
        <w:autoSpaceDN/>
        <w:bidi w:val="0"/>
        <w:adjustRightInd/>
        <w:snapToGrid/>
        <w:spacing w:after="120"/>
        <w:textAlignment w:val="auto"/>
        <w:outlineLvl w:val="9"/>
        <w:rPr>
          <w:rFonts w:hint="default" w:ascii="Times New Roman" w:hAnsi="Times New Roman" w:cs="Times New Roman"/>
          <w:highlight w:val="yellow"/>
        </w:rPr>
      </w:pPr>
    </w:p>
    <w:p w14:paraId="3912D745">
      <w:pPr>
        <w:pageBreakBefore w:val="0"/>
        <w:kinsoku/>
        <w:wordWrap/>
        <w:topLinePunct w:val="0"/>
        <w:bidi w:val="0"/>
        <w:snapToGrid/>
        <w:outlineLvl w:val="9"/>
        <w:rPr>
          <w:rFonts w:hint="default" w:ascii="Times New Roman" w:hAnsi="Times New Roman" w:cs="Times New Roman"/>
          <w:sz w:val="20"/>
          <w:szCs w:val="20"/>
        </w:rPr>
      </w:pPr>
      <w:r>
        <w:rPr>
          <w:rFonts w:hint="default" w:ascii="Times New Roman" w:hAnsi="Times New Roman" w:cs="Times New Roman"/>
          <w:sz w:val="20"/>
          <w:szCs w:val="20"/>
        </w:rPr>
        <w:t>Sub-topic 2-5: Antenna model assumptions</w:t>
      </w:r>
    </w:p>
    <w:p w14:paraId="4BFBE1DC">
      <w:pPr>
        <w:pageBreakBefore w:val="0"/>
        <w:kinsoku/>
        <w:wordWrap/>
        <w:overflowPunct/>
        <w:topLinePunct w:val="0"/>
        <w:autoSpaceDE/>
        <w:autoSpaceDN/>
        <w:bidi w:val="0"/>
        <w:adjustRightInd/>
        <w:snapToGrid/>
        <w:spacing w:after="120"/>
        <w:textAlignment w:val="auto"/>
        <w:outlineLvl w:val="9"/>
        <w:rPr>
          <w:rFonts w:hint="default" w:ascii="Times New Roman" w:hAnsi="Times New Roman" w:cs="Times New Roman"/>
        </w:rPr>
      </w:pPr>
      <w:r>
        <w:rPr>
          <w:rFonts w:hint="eastAsia" w:ascii="Times New Roman" w:hAnsi="Times New Roman" w:cs="Times New Roman"/>
          <w:b/>
          <w:lang w:eastAsia="zh-CN"/>
        </w:rPr>
        <w:t>Agreement</w:t>
      </w:r>
      <w:r>
        <w:rPr>
          <w:rFonts w:hint="default" w:ascii="Times New Roman" w:hAnsi="Times New Roman" w:cs="Times New Roman"/>
          <w:lang w:eastAsia="zh-CN"/>
        </w:rPr>
        <w:t>:</w:t>
      </w:r>
      <w:r>
        <w:rPr>
          <w:rFonts w:hint="default" w:ascii="Times New Roman" w:hAnsi="Times New Roman" w:cs="Times New Roman"/>
        </w:rPr>
        <w:t xml:space="preserve"> </w:t>
      </w:r>
    </w:p>
    <w:p w14:paraId="71743AC5">
      <w:pPr>
        <w:pStyle w:val="134"/>
        <w:pageBreakBefore w:val="0"/>
        <w:numPr>
          <w:ilvl w:val="0"/>
          <w:numId w:val="20"/>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cs="Times New Roman"/>
        </w:rPr>
      </w:pPr>
      <w:r>
        <w:rPr>
          <w:rFonts w:hint="default" w:ascii="Times New Roman" w:hAnsi="Times New Roman" w:cs="Times New Roman"/>
        </w:rPr>
        <w:t xml:space="preserve">BS: </w:t>
      </w:r>
    </w:p>
    <w:p w14:paraId="6519B268">
      <w:pPr>
        <w:pStyle w:val="134"/>
        <w:pageBreakBefore w:val="0"/>
        <w:numPr>
          <w:ilvl w:val="1"/>
          <w:numId w:val="20"/>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cs="Times New Roman"/>
        </w:rPr>
      </w:pPr>
      <w:r>
        <w:rPr>
          <w:rFonts w:hint="default" w:ascii="Times New Roman" w:hAnsi="Times New Roman" w:cs="Times New Roman"/>
        </w:rPr>
        <w:t xml:space="preserve">Aggressor BS: AAS and non-AAS; </w:t>
      </w:r>
    </w:p>
    <w:p w14:paraId="3FDC3645">
      <w:pPr>
        <w:pStyle w:val="134"/>
        <w:pageBreakBefore w:val="0"/>
        <w:numPr>
          <w:ilvl w:val="1"/>
          <w:numId w:val="20"/>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cs="Times New Roman"/>
        </w:rPr>
      </w:pPr>
      <w:r>
        <w:rPr>
          <w:rFonts w:hint="default" w:ascii="Times New Roman" w:hAnsi="Times New Roman" w:cs="Times New Roman"/>
        </w:rPr>
        <w:t>Victim BS: AAS only.</w:t>
      </w:r>
    </w:p>
    <w:p w14:paraId="0E7459BD">
      <w:pPr>
        <w:pStyle w:val="134"/>
        <w:pageBreakBefore w:val="0"/>
        <w:numPr>
          <w:ilvl w:val="1"/>
          <w:numId w:val="20"/>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cs="Times New Roman"/>
        </w:rPr>
      </w:pPr>
      <w:r>
        <w:rPr>
          <w:rFonts w:hint="default" w:ascii="Times New Roman" w:hAnsi="Times New Roman" w:cs="Times New Roman"/>
          <w:color w:val="000000" w:themeColor="text1"/>
          <w:szCs w:val="24"/>
          <w:lang w:val="en-US" w:eastAsia="zh-CN"/>
          <w14:textFill>
            <w14:solidFill>
              <w14:schemeClr w14:val="tx1"/>
            </w14:solidFill>
          </w14:textFill>
        </w:rPr>
        <w:t>Assumptions for antenna gains for OOB are FFS.</w:t>
      </w:r>
    </w:p>
    <w:p w14:paraId="5BF4AA0F">
      <w:pPr>
        <w:pStyle w:val="134"/>
        <w:pageBreakBefore w:val="0"/>
        <w:numPr>
          <w:ilvl w:val="0"/>
          <w:numId w:val="20"/>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cs="Times New Roman"/>
        </w:rPr>
      </w:pPr>
      <w:r>
        <w:rPr>
          <w:rFonts w:hint="default" w:ascii="Times New Roman" w:hAnsi="Times New Roman" w:cs="Times New Roman"/>
        </w:rPr>
        <w:t>UE: no beamforming; omnidirectional antenna model with 0 dBi.</w:t>
      </w:r>
    </w:p>
    <w:p w14:paraId="2F0D9678">
      <w:pPr>
        <w:pageBreakBefore w:val="0"/>
        <w:kinsoku/>
        <w:wordWrap/>
        <w:topLinePunct w:val="0"/>
        <w:bidi w:val="0"/>
        <w:snapToGrid/>
        <w:spacing w:after="120"/>
        <w:outlineLvl w:val="9"/>
        <w:rPr>
          <w:rFonts w:hint="default" w:ascii="Times New Roman" w:hAnsi="Times New Roman" w:cs="Times New Roman"/>
          <w:color w:val="000000" w:themeColor="text1"/>
          <w:szCs w:val="24"/>
          <w:lang w:val="en-US" w:eastAsia="zh-CN"/>
          <w14:textFill>
            <w14:solidFill>
              <w14:schemeClr w14:val="tx1"/>
            </w14:solidFill>
          </w14:textFill>
        </w:rPr>
      </w:pPr>
    </w:p>
    <w:p w14:paraId="311924AA">
      <w:pPr>
        <w:pageBreakBefore w:val="0"/>
        <w:kinsoku/>
        <w:wordWrap/>
        <w:topLinePunct w:val="0"/>
        <w:bidi w:val="0"/>
        <w:snapToGrid/>
        <w:outlineLvl w:val="9"/>
        <w:rPr>
          <w:rFonts w:hint="default" w:ascii="Times New Roman" w:hAnsi="Times New Roman" w:cs="Times New Roman"/>
          <w:sz w:val="20"/>
          <w:szCs w:val="20"/>
        </w:rPr>
      </w:pPr>
      <w:r>
        <w:rPr>
          <w:rFonts w:hint="default" w:ascii="Times New Roman" w:hAnsi="Times New Roman" w:cs="Times New Roman"/>
          <w:sz w:val="20"/>
          <w:szCs w:val="20"/>
        </w:rPr>
        <w:t>Sub-topic 2-6:  Protection margin</w:t>
      </w:r>
    </w:p>
    <w:p w14:paraId="3C6D57CB">
      <w:pPr>
        <w:pageBreakBefore w:val="0"/>
        <w:kinsoku/>
        <w:wordWrap/>
        <w:overflowPunct/>
        <w:topLinePunct w:val="0"/>
        <w:autoSpaceDE/>
        <w:autoSpaceDN/>
        <w:bidi w:val="0"/>
        <w:adjustRightInd/>
        <w:snapToGrid/>
        <w:spacing w:after="120"/>
        <w:textAlignment w:val="auto"/>
        <w:outlineLvl w:val="9"/>
        <w:rPr>
          <w:rFonts w:hint="default" w:ascii="Times New Roman" w:hAnsi="Times New Roman" w:cs="Times New Roman"/>
        </w:rPr>
      </w:pPr>
      <w:r>
        <w:rPr>
          <w:rFonts w:hint="eastAsia" w:ascii="Times New Roman" w:hAnsi="Times New Roman" w:cs="Times New Roman"/>
          <w:b/>
          <w:lang w:eastAsia="zh-CN"/>
        </w:rPr>
        <w:t>Agreement</w:t>
      </w:r>
      <w:r>
        <w:rPr>
          <w:rFonts w:hint="default" w:ascii="Times New Roman" w:hAnsi="Times New Roman" w:cs="Times New Roman"/>
          <w:lang w:eastAsia="zh-CN"/>
        </w:rPr>
        <w:t>:</w:t>
      </w:r>
      <w:r>
        <w:rPr>
          <w:rFonts w:hint="default" w:ascii="Times New Roman" w:hAnsi="Times New Roman" w:cs="Times New Roman"/>
        </w:rPr>
        <w:t xml:space="preserve"> </w:t>
      </w:r>
    </w:p>
    <w:p w14:paraId="783982AA">
      <w:pPr>
        <w:pStyle w:val="240"/>
        <w:pageBreakBefore w:val="0"/>
        <w:numPr>
          <w:ilvl w:val="0"/>
          <w:numId w:val="14"/>
        </w:numPr>
        <w:kinsoku/>
        <w:wordWrap/>
        <w:topLinePunct w:val="0"/>
        <w:bidi w:val="0"/>
        <w:snapToGrid/>
        <w:outlineLvl w:val="9"/>
        <w:rPr>
          <w:rFonts w:hint="default" w:ascii="Times New Roman" w:hAnsi="Times New Roman" w:cs="Times New Roman"/>
        </w:rPr>
      </w:pPr>
      <w:r>
        <w:rPr>
          <w:rFonts w:hint="default" w:ascii="Times New Roman" w:hAnsi="Times New Roman" w:cs="Times New Roman"/>
        </w:rPr>
        <w:t xml:space="preserve">For DL (UE Rx) protection: reuse the 3 dB desensitisation assumption (Reference from TR 25.942). </w:t>
      </w:r>
    </w:p>
    <w:p w14:paraId="5156A7AC">
      <w:pPr>
        <w:pStyle w:val="240"/>
        <w:pageBreakBefore w:val="0"/>
        <w:numPr>
          <w:ilvl w:val="0"/>
          <w:numId w:val="14"/>
        </w:numPr>
        <w:kinsoku/>
        <w:wordWrap/>
        <w:topLinePunct w:val="0"/>
        <w:bidi w:val="0"/>
        <w:snapToGrid/>
        <w:outlineLvl w:val="9"/>
        <w:rPr>
          <w:rFonts w:hint="default" w:ascii="Times New Roman" w:hAnsi="Times New Roman" w:cs="Times New Roman"/>
        </w:rPr>
      </w:pPr>
      <w:r>
        <w:rPr>
          <w:rFonts w:hint="default" w:ascii="Times New Roman" w:hAnsi="Times New Roman" w:cs="Times New Roman"/>
        </w:rPr>
        <w:t>For UL (BS Rx) protection: reuse the 0.8 dB desensitisation assumption (Reference from TR 25.942).</w:t>
      </w:r>
    </w:p>
    <w:p w14:paraId="283A4BE3">
      <w:pPr>
        <w:pageBreakBefore w:val="0"/>
        <w:kinsoku/>
        <w:wordWrap/>
        <w:topLinePunct w:val="0"/>
        <w:bidi w:val="0"/>
        <w:snapToGrid/>
        <w:outlineLvl w:val="9"/>
        <w:rPr>
          <w:rFonts w:hint="default" w:ascii="Times New Roman" w:hAnsi="Times New Roman" w:cs="Times New Roman"/>
          <w:color w:val="000000" w:themeColor="text1"/>
          <w:lang w:eastAsia="zh-CN"/>
          <w14:textFill>
            <w14:solidFill>
              <w14:schemeClr w14:val="tx1"/>
            </w14:solidFill>
          </w14:textFill>
        </w:rPr>
      </w:pPr>
    </w:p>
    <w:p w14:paraId="69C88597">
      <w:pPr>
        <w:pageBreakBefore w:val="0"/>
        <w:kinsoku/>
        <w:wordWrap/>
        <w:topLinePunct w:val="0"/>
        <w:bidi w:val="0"/>
        <w:snapToGrid/>
        <w:outlineLvl w:val="9"/>
        <w:rPr>
          <w:rFonts w:hint="default" w:ascii="Times New Roman" w:hAnsi="Times New Roman" w:cs="Times New Roman"/>
          <w:sz w:val="20"/>
          <w:szCs w:val="20"/>
        </w:rPr>
      </w:pPr>
      <w:r>
        <w:rPr>
          <w:rFonts w:hint="default" w:ascii="Times New Roman" w:hAnsi="Times New Roman" w:cs="Times New Roman"/>
          <w:sz w:val="20"/>
          <w:szCs w:val="20"/>
        </w:rPr>
        <w:t>Sub-topic 2-7: System-level simulation assumptions</w:t>
      </w:r>
    </w:p>
    <w:p w14:paraId="6CDD3AD1">
      <w:pPr>
        <w:pageBreakBefore w:val="0"/>
        <w:kinsoku/>
        <w:wordWrap/>
        <w:overflowPunct/>
        <w:topLinePunct w:val="0"/>
        <w:autoSpaceDE/>
        <w:autoSpaceDN/>
        <w:bidi w:val="0"/>
        <w:adjustRightInd/>
        <w:snapToGrid/>
        <w:spacing w:after="120"/>
        <w:textAlignment w:val="auto"/>
        <w:outlineLvl w:val="9"/>
        <w:rPr>
          <w:rFonts w:hint="default" w:ascii="Times New Roman" w:hAnsi="Times New Roman" w:cs="Times New Roman"/>
          <w:color w:val="000000" w:themeColor="text1"/>
          <w:szCs w:val="24"/>
          <w:lang w:val="en-US" w:eastAsia="zh-CN"/>
          <w14:textFill>
            <w14:solidFill>
              <w14:schemeClr w14:val="tx1"/>
            </w14:solidFill>
          </w14:textFill>
        </w:rPr>
      </w:pPr>
      <w:r>
        <w:rPr>
          <w:rFonts w:hint="eastAsia" w:ascii="Times New Roman" w:hAnsi="Times New Roman" w:cs="Times New Roman"/>
          <w:b/>
          <w:lang w:eastAsia="zh-CN"/>
        </w:rPr>
        <w:t>Agreement</w:t>
      </w:r>
      <w:r>
        <w:rPr>
          <w:rFonts w:hint="default" w:ascii="Times New Roman" w:hAnsi="Times New Roman" w:cs="Times New Roman"/>
          <w:lang w:eastAsia="zh-CN"/>
        </w:rPr>
        <w:t>:</w:t>
      </w:r>
      <w:r>
        <w:rPr>
          <w:rFonts w:hint="default" w:ascii="Times New Roman" w:hAnsi="Times New Roman" w:cs="Times New Roman"/>
        </w:rPr>
        <w:t xml:space="preserve"> </w:t>
      </w:r>
    </w:p>
    <w:p w14:paraId="0FCF9971">
      <w:pPr>
        <w:pageBreakBefore w:val="0"/>
        <w:kinsoku/>
        <w:wordWrap/>
        <w:topLinePunct w:val="0"/>
        <w:bidi w:val="0"/>
        <w:snapToGrid/>
        <w:spacing w:after="120"/>
        <w:outlineLvl w:val="9"/>
        <w:rPr>
          <w:rFonts w:hint="default" w:ascii="Times New Roman" w:hAnsi="Times New Roman" w:cs="Times New Roman"/>
          <w:color w:val="000000" w:themeColor="text1"/>
          <w:szCs w:val="24"/>
          <w:lang w:val="en-US" w:eastAsia="zh-CN"/>
          <w14:textFill>
            <w14:solidFill>
              <w14:schemeClr w14:val="tx1"/>
            </w14:solidFill>
          </w14:textFill>
        </w:rPr>
      </w:pPr>
      <w:r>
        <w:rPr>
          <w:rFonts w:hint="default" w:ascii="Times New Roman" w:hAnsi="Times New Roman" w:cs="Times New Roman"/>
          <w:color w:val="000000" w:themeColor="text1"/>
          <w:szCs w:val="24"/>
          <w:lang w:val="en-US" w:eastAsia="zh-CN"/>
          <w14:textFill>
            <w14:solidFill>
              <w14:schemeClr w14:val="tx1"/>
            </w14:solidFill>
          </w14:textFill>
        </w:rPr>
        <w:t xml:space="preserve">For AAS BS: follow TR 38.922 as baseline </w:t>
      </w:r>
    </w:p>
    <w:p w14:paraId="2A3E3462">
      <w:pPr>
        <w:pStyle w:val="134"/>
        <w:pageBreakBefore w:val="0"/>
        <w:numPr>
          <w:ilvl w:val="0"/>
          <w:numId w:val="21"/>
        </w:numPr>
        <w:kinsoku/>
        <w:wordWrap/>
        <w:topLinePunct w:val="0"/>
        <w:bidi w:val="0"/>
        <w:snapToGrid/>
        <w:ind w:firstLineChars="0"/>
        <w:outlineLvl w:val="9"/>
        <w:rPr>
          <w:rFonts w:hint="default" w:ascii="Times New Roman" w:hAnsi="Times New Roman" w:cs="Times New Roman"/>
          <w:lang w:val="en-US"/>
        </w:rPr>
      </w:pPr>
      <w:r>
        <w:rPr>
          <w:rFonts w:hint="default" w:ascii="Times New Roman" w:hAnsi="Times New Roman" w:cs="Times New Roman"/>
          <w:lang w:val="en-US"/>
        </w:rPr>
        <w:t xml:space="preserve">For both 2 GHz and 3.5 GHz, reuse </w:t>
      </w:r>
      <w:r>
        <w:rPr>
          <w:rFonts w:hint="default" w:ascii="Times New Roman" w:hAnsi="Times New Roman" w:cs="Times New Roman"/>
        </w:rPr>
        <w:t xml:space="preserve">4400 - 4800 MHz frequency range </w:t>
      </w:r>
      <w:r>
        <w:rPr>
          <w:rFonts w:hint="default" w:ascii="Times New Roman" w:hAnsi="Times New Roman" w:cs="Times New Roman"/>
          <w:lang w:val="en-US"/>
        </w:rPr>
        <w:t>antenna parameters,</w:t>
      </w:r>
    </w:p>
    <w:p w14:paraId="61AB941F">
      <w:pPr>
        <w:pStyle w:val="134"/>
        <w:pageBreakBefore w:val="0"/>
        <w:numPr>
          <w:ilvl w:val="0"/>
          <w:numId w:val="21"/>
        </w:numPr>
        <w:kinsoku/>
        <w:wordWrap/>
        <w:topLinePunct w:val="0"/>
        <w:bidi w:val="0"/>
        <w:snapToGrid/>
        <w:ind w:firstLineChars="0"/>
        <w:outlineLvl w:val="9"/>
        <w:rPr>
          <w:rFonts w:hint="default" w:ascii="Times New Roman" w:hAnsi="Times New Roman" w:cs="Times New Roman"/>
          <w:color w:val="000000" w:themeColor="text1"/>
          <w:szCs w:val="24"/>
          <w:lang w:val="en-US" w:eastAsia="zh-CN"/>
          <w14:textFill>
            <w14:solidFill>
              <w14:schemeClr w14:val="tx1"/>
            </w14:solidFill>
          </w14:textFill>
        </w:rPr>
      </w:pPr>
      <w:r>
        <w:rPr>
          <w:rFonts w:hint="default" w:ascii="Times New Roman" w:hAnsi="Times New Roman" w:cs="Times New Roman"/>
          <w:lang w:val="en-US"/>
        </w:rPr>
        <w:t xml:space="preserve">For </w:t>
      </w:r>
      <w:r>
        <w:rPr>
          <w:rFonts w:hint="default" w:ascii="Times New Roman" w:hAnsi="Times New Roman" w:cs="Times New Roman"/>
        </w:rPr>
        <w:t xml:space="preserve">lower bound frequency of band n104, i.e., 6425 MHz, reuse </w:t>
      </w:r>
      <w:r>
        <w:rPr>
          <w:rFonts w:hint="default" w:ascii="Times New Roman" w:hAnsi="Times New Roman" w:eastAsia="宋体" w:cs="Times New Roman"/>
        </w:rPr>
        <w:t xml:space="preserve">7125 to 8400 MHz </w:t>
      </w:r>
      <w:r>
        <w:rPr>
          <w:rFonts w:hint="default" w:ascii="Times New Roman" w:hAnsi="Times New Roman" w:cs="Times New Roman"/>
        </w:rPr>
        <w:t xml:space="preserve">frequency range </w:t>
      </w:r>
      <w:r>
        <w:rPr>
          <w:rFonts w:hint="default" w:ascii="Times New Roman" w:hAnsi="Times New Roman" w:cs="Times New Roman"/>
          <w:lang w:val="en-US"/>
        </w:rPr>
        <w:t>antenna parameters</w:t>
      </w:r>
    </w:p>
    <w:p w14:paraId="3768C936">
      <w:pPr>
        <w:pageBreakBefore w:val="0"/>
        <w:kinsoku/>
        <w:wordWrap/>
        <w:topLinePunct w:val="0"/>
        <w:bidi w:val="0"/>
        <w:snapToGrid/>
        <w:outlineLvl w:val="9"/>
        <w:rPr>
          <w:rFonts w:hint="default" w:ascii="Times New Roman" w:hAnsi="Times New Roman" w:cs="Times New Roman"/>
          <w:color w:val="000000" w:themeColor="text1"/>
          <w:szCs w:val="24"/>
          <w:lang w:val="en-US" w:eastAsia="zh-CN"/>
          <w14:textFill>
            <w14:solidFill>
              <w14:schemeClr w14:val="tx1"/>
            </w14:solidFill>
          </w14:textFill>
        </w:rPr>
      </w:pPr>
      <w:r>
        <w:rPr>
          <w:rFonts w:hint="default" w:ascii="Times New Roman" w:hAnsi="Times New Roman" w:cs="Times New Roman"/>
          <w:color w:val="000000" w:themeColor="text1"/>
          <w:szCs w:val="24"/>
          <w:lang w:val="en-US" w:eastAsia="zh-CN"/>
          <w14:textFill>
            <w14:solidFill>
              <w14:schemeClr w14:val="tx1"/>
            </w14:solidFill>
          </w14:textFill>
        </w:rPr>
        <w:t xml:space="preserve">For non-ASS: follow 37.840 as starting point. </w:t>
      </w:r>
    </w:p>
    <w:p w14:paraId="4A6DCA1C">
      <w:pPr>
        <w:pageBreakBefore w:val="0"/>
        <w:kinsoku/>
        <w:wordWrap/>
        <w:topLinePunct w:val="0"/>
        <w:bidi w:val="0"/>
        <w:snapToGrid/>
        <w:outlineLvl w:val="9"/>
        <w:rPr>
          <w:rFonts w:hint="default" w:ascii="Times New Roman" w:hAnsi="Times New Roman" w:cs="Times New Roman"/>
          <w:lang w:val="en-US"/>
        </w:rPr>
      </w:pPr>
      <w:r>
        <w:rPr>
          <w:rFonts w:hint="default" w:ascii="Times New Roman" w:hAnsi="Times New Roman" w:cs="Times New Roman"/>
          <w:lang w:val="en-US"/>
        </w:rPr>
        <w:t xml:space="preserve">For Propagation Model, use TR 38.901 as starting point. </w:t>
      </w:r>
    </w:p>
    <w:p w14:paraId="70C58EC7">
      <w:pPr>
        <w:pageBreakBefore w:val="0"/>
        <w:kinsoku/>
        <w:wordWrap/>
        <w:topLinePunct w:val="0"/>
        <w:bidi w:val="0"/>
        <w:snapToGrid/>
        <w:outlineLvl w:val="9"/>
        <w:rPr>
          <w:rFonts w:hint="default" w:ascii="Times New Roman" w:hAnsi="Times New Roman" w:cs="Times New Roman"/>
        </w:rPr>
      </w:pPr>
      <w:r>
        <w:rPr>
          <w:rFonts w:hint="default" w:ascii="Times New Roman" w:hAnsi="Times New Roman" w:cs="Times New Roman"/>
        </w:rPr>
        <w:t>Other simulation parameters</w:t>
      </w:r>
    </w:p>
    <w:p w14:paraId="6290B700">
      <w:pPr>
        <w:pageBreakBefore w:val="0"/>
        <w:kinsoku/>
        <w:wordWrap/>
        <w:topLinePunct w:val="0"/>
        <w:bidi w:val="0"/>
        <w:snapToGrid/>
        <w:outlineLvl w:val="9"/>
        <w:rPr>
          <w:rFonts w:hint="default" w:ascii="Times New Roman" w:hAnsi="Times New Roman" w:cs="Times New Roman"/>
        </w:rPr>
      </w:pPr>
      <w:r>
        <w:rPr>
          <w:rFonts w:hint="default" w:ascii="Times New Roman" w:hAnsi="Times New Roman" w:cs="Times New Roman"/>
        </w:rPr>
        <w:t xml:space="preserve">The following parameter value are considered as a starting point: </w:t>
      </w:r>
    </w:p>
    <w:p w14:paraId="2DB73066">
      <w:pPr>
        <w:pStyle w:val="134"/>
        <w:pageBreakBefore w:val="0"/>
        <w:numPr>
          <w:ilvl w:val="0"/>
          <w:numId w:val="22"/>
        </w:numPr>
        <w:kinsoku/>
        <w:wordWrap/>
        <w:topLinePunct w:val="0"/>
        <w:bidi w:val="0"/>
        <w:snapToGrid/>
        <w:ind w:firstLineChars="0"/>
        <w:outlineLvl w:val="9"/>
        <w:rPr>
          <w:rFonts w:hint="default" w:ascii="Times New Roman" w:hAnsi="Times New Roman" w:cs="Times New Roman"/>
        </w:rPr>
      </w:pPr>
      <w:r>
        <w:rPr>
          <w:rFonts w:hint="default" w:ascii="Times New Roman" w:hAnsi="Times New Roman" w:cs="Times New Roman"/>
        </w:rPr>
        <w:t xml:space="preserve">ISD for Macro – 500m (Reference from TR 25.942); </w:t>
      </w:r>
    </w:p>
    <w:p w14:paraId="648F7C59">
      <w:pPr>
        <w:pStyle w:val="134"/>
        <w:pageBreakBefore w:val="0"/>
        <w:numPr>
          <w:ilvl w:val="0"/>
          <w:numId w:val="22"/>
        </w:numPr>
        <w:kinsoku/>
        <w:wordWrap/>
        <w:topLinePunct w:val="0"/>
        <w:bidi w:val="0"/>
        <w:snapToGrid/>
        <w:ind w:firstLineChars="0"/>
        <w:outlineLvl w:val="9"/>
        <w:rPr>
          <w:rFonts w:hint="default" w:ascii="Times New Roman" w:hAnsi="Times New Roman" w:cs="Times New Roman"/>
        </w:rPr>
      </w:pPr>
      <w:r>
        <w:rPr>
          <w:rFonts w:hint="default" w:ascii="Times New Roman" w:hAnsi="Times New Roman" w:cs="Times New Roman"/>
        </w:rPr>
        <w:t xml:space="preserve">Macro BS antenna height – 25m </w:t>
      </w:r>
    </w:p>
    <w:p w14:paraId="24878EF3">
      <w:pPr>
        <w:pStyle w:val="134"/>
        <w:pageBreakBefore w:val="0"/>
        <w:numPr>
          <w:ilvl w:val="0"/>
          <w:numId w:val="22"/>
        </w:numPr>
        <w:kinsoku/>
        <w:wordWrap/>
        <w:topLinePunct w:val="0"/>
        <w:bidi w:val="0"/>
        <w:snapToGrid/>
        <w:ind w:firstLineChars="0"/>
        <w:outlineLvl w:val="9"/>
        <w:rPr>
          <w:rFonts w:hint="default" w:ascii="Times New Roman" w:hAnsi="Times New Roman" w:cs="Times New Roman"/>
        </w:rPr>
      </w:pPr>
      <w:r>
        <w:rPr>
          <w:rFonts w:hint="default" w:ascii="Times New Roman" w:hAnsi="Times New Roman" w:cs="Times New Roman"/>
        </w:rPr>
        <w:t>BS to UE minimum distance – 35m</w:t>
      </w:r>
    </w:p>
    <w:p w14:paraId="09516CCC">
      <w:pPr>
        <w:pStyle w:val="134"/>
        <w:pageBreakBefore w:val="0"/>
        <w:numPr>
          <w:ilvl w:val="0"/>
          <w:numId w:val="22"/>
        </w:numPr>
        <w:kinsoku/>
        <w:wordWrap/>
        <w:topLinePunct w:val="0"/>
        <w:bidi w:val="0"/>
        <w:snapToGrid/>
        <w:ind w:firstLineChars="0"/>
        <w:outlineLvl w:val="9"/>
        <w:rPr>
          <w:rFonts w:hint="default" w:ascii="Times New Roman" w:hAnsi="Times New Roman" w:cs="Times New Roman"/>
        </w:rPr>
      </w:pPr>
      <w:r>
        <w:rPr>
          <w:rFonts w:hint="default" w:ascii="Times New Roman" w:hAnsi="Times New Roman" w:cs="Times New Roman"/>
        </w:rPr>
        <w:t>UE outdoor – 100%</w:t>
      </w:r>
    </w:p>
    <w:p w14:paraId="1CCA5425">
      <w:pPr>
        <w:pageBreakBefore w:val="0"/>
        <w:kinsoku/>
        <w:wordWrap/>
        <w:topLinePunct w:val="0"/>
        <w:bidi w:val="0"/>
        <w:snapToGrid/>
        <w:outlineLvl w:val="9"/>
        <w:rPr>
          <w:rFonts w:hint="eastAsia"/>
          <w:lang w:val="en-US" w:eastAsia="zh-CN"/>
        </w:rPr>
      </w:pPr>
    </w:p>
    <w:p w14:paraId="179C00AD">
      <w:pPr>
        <w:pageBreakBefore w:val="0"/>
        <w:kinsoku/>
        <w:wordWrap/>
        <w:topLinePunct w:val="0"/>
        <w:bidi w:val="0"/>
        <w:snapToGrid/>
        <w:outlineLvl w:val="9"/>
        <w:rPr>
          <w:rFonts w:hint="default" w:ascii="Times New Roman" w:hAnsi="Times New Roman" w:cs="Times New Roman"/>
          <w:b/>
          <w:bCs/>
          <w:lang w:val="en-US" w:eastAsia="zh-CN"/>
        </w:rPr>
      </w:pPr>
      <w:r>
        <w:rPr>
          <w:rFonts w:hint="eastAsia" w:ascii="Times New Roman" w:hAnsi="Times New Roman" w:cs="Times New Roman"/>
          <w:b/>
          <w:bCs/>
          <w:lang w:val="en-US" w:eastAsia="zh-CN"/>
        </w:rPr>
        <w:t>Perf part for EEIRP:</w:t>
      </w:r>
    </w:p>
    <w:p w14:paraId="3009018E">
      <w:pPr>
        <w:pageBreakBefore w:val="0"/>
        <w:kinsoku/>
        <w:wordWrap/>
        <w:topLinePunct w:val="0"/>
        <w:bidi w:val="0"/>
        <w:snapToGrid/>
        <w:outlineLvl w:val="9"/>
        <w:rPr>
          <w:rFonts w:hint="default" w:ascii="Times New Roman" w:hAnsi="Times New Roman" w:eastAsia="宋体" w:cs="Times New Roman"/>
          <w:color w:val="auto"/>
          <w:highlight w:val="none"/>
          <w:lang w:val="en-US" w:eastAsia="zh-CN"/>
        </w:rPr>
      </w:pPr>
      <w:r>
        <w:rPr>
          <w:rFonts w:hint="default" w:ascii="Times New Roman" w:hAnsi="Times New Roman" w:cs="Times New Roman"/>
          <w:b/>
          <w:bCs/>
          <w:iCs/>
          <w:color w:val="auto"/>
          <w:highlight w:val="none"/>
          <w:lang w:val="en-US" w:eastAsia="zh-CN"/>
        </w:rPr>
        <w:t>Issue 2-1: Reference case for the calculation of EEIRP error</w:t>
      </w:r>
    </w:p>
    <w:p w14:paraId="38FC5524">
      <w:pPr>
        <w:pStyle w:val="134"/>
        <w:pageBreakBefore w:val="0"/>
        <w:kinsoku/>
        <w:wordWrap/>
        <w:overflowPunct/>
        <w:topLinePunct w:val="0"/>
        <w:autoSpaceDE/>
        <w:autoSpaceDN/>
        <w:bidi w:val="0"/>
        <w:adjustRightInd/>
        <w:snapToGrid/>
        <w:spacing w:after="120"/>
        <w:ind w:left="0" w:leftChars="0" w:firstLine="0" w:firstLineChars="0"/>
        <w:textAlignment w:val="auto"/>
        <w:outlineLvl w:val="9"/>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Agreement</w:t>
      </w:r>
      <w:r>
        <w:rPr>
          <w:rFonts w:hint="default" w:ascii="Times New Roman" w:hAnsi="Times New Roman" w:eastAsia="宋体" w:cs="Times New Roman"/>
          <w:color w:val="auto"/>
          <w:highlight w:val="none"/>
          <w:lang w:val="en-US" w:eastAsia="zh-CN"/>
        </w:rPr>
        <w:t xml:space="preserve">: </w:t>
      </w:r>
    </w:p>
    <w:p w14:paraId="0A9E210C">
      <w:pPr>
        <w:pStyle w:val="134"/>
        <w:pageBreakBefore w:val="0"/>
        <w:numPr>
          <w:ilvl w:val="0"/>
          <w:numId w:val="23"/>
        </w:numPr>
        <w:kinsoku/>
        <w:wordWrap/>
        <w:overflowPunct/>
        <w:topLinePunct w:val="0"/>
        <w:autoSpaceDE/>
        <w:autoSpaceDN/>
        <w:bidi w:val="0"/>
        <w:adjustRightInd/>
        <w:snapToGrid/>
        <w:spacing w:after="120"/>
        <w:ind w:left="420" w:leftChars="0" w:hanging="420" w:firstLineChars="0"/>
        <w:textAlignment w:val="auto"/>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To capture some justification in the TR why the standard ellipse is representative for the beam steering range.</w:t>
      </w:r>
    </w:p>
    <w:p w14:paraId="4C1F2DFC">
      <w:pPr>
        <w:pageBreakBefore w:val="0"/>
        <w:kinsoku/>
        <w:wordWrap/>
        <w:topLinePunct w:val="0"/>
        <w:bidi w:val="0"/>
        <w:snapToGrid/>
        <w:outlineLvl w:val="9"/>
        <w:rPr>
          <w:rFonts w:hint="default" w:ascii="Times New Roman" w:hAnsi="Times New Roman" w:eastAsia="宋体" w:cs="Times New Roman"/>
          <w:color w:val="auto"/>
          <w:highlight w:val="none"/>
          <w:lang w:val="en-US" w:eastAsia="zh-CN"/>
        </w:rPr>
      </w:pPr>
      <w:r>
        <w:rPr>
          <w:rFonts w:hint="default" w:ascii="Times New Roman" w:hAnsi="Times New Roman" w:cs="Times New Roman"/>
          <w:b/>
          <w:bCs/>
          <w:iCs/>
          <w:color w:val="auto"/>
          <w:highlight w:val="none"/>
          <w:lang w:val="en-US" w:eastAsia="zh-CN"/>
        </w:rPr>
        <w:t xml:space="preserve">Issue 2-2a: standard deviation for EEIRP summation error </w:t>
      </w:r>
    </w:p>
    <w:p w14:paraId="773572D2">
      <w:pPr>
        <w:pStyle w:val="134"/>
        <w:pageBreakBefore w:val="0"/>
        <w:kinsoku/>
        <w:wordWrap/>
        <w:overflowPunct/>
        <w:topLinePunct w:val="0"/>
        <w:autoSpaceDE/>
        <w:autoSpaceDN/>
        <w:bidi w:val="0"/>
        <w:adjustRightInd/>
        <w:snapToGrid/>
        <w:spacing w:after="120"/>
        <w:ind w:left="0" w:leftChars="0" w:firstLine="0" w:firstLineChars="0"/>
        <w:textAlignment w:val="auto"/>
        <w:outlineLvl w:val="9"/>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Agreement</w:t>
      </w:r>
      <w:r>
        <w:rPr>
          <w:rFonts w:hint="default" w:ascii="Times New Roman" w:hAnsi="Times New Roman" w:eastAsia="宋体" w:cs="Times New Roman"/>
          <w:color w:val="auto"/>
          <w:highlight w:val="none"/>
          <w:lang w:val="en-US" w:eastAsia="zh-CN"/>
        </w:rPr>
        <w:t xml:space="preserve">: </w:t>
      </w:r>
    </w:p>
    <w:p w14:paraId="3588A365">
      <w:pPr>
        <w:pStyle w:val="134"/>
        <w:pageBreakBefore w:val="0"/>
        <w:numPr>
          <w:ilvl w:val="0"/>
          <w:numId w:val="23"/>
        </w:numPr>
        <w:kinsoku/>
        <w:wordWrap/>
        <w:overflowPunct/>
        <w:topLinePunct w:val="0"/>
        <w:autoSpaceDE/>
        <w:autoSpaceDN/>
        <w:bidi w:val="0"/>
        <w:adjustRightInd/>
        <w:snapToGrid/>
        <w:spacing w:after="120"/>
        <w:ind w:left="420" w:leftChars="0" w:hanging="420" w:firstLineChars="0"/>
        <w:textAlignment w:val="auto"/>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Agree the MU as [0.5dB] for EEIRP mask. </w:t>
      </w:r>
    </w:p>
    <w:p w14:paraId="1C4A230D">
      <w:pPr>
        <w:pStyle w:val="134"/>
        <w:pageBreakBefore w:val="0"/>
        <w:kinsoku/>
        <w:wordWrap/>
        <w:overflowPunct/>
        <w:topLinePunct w:val="0"/>
        <w:autoSpaceDE/>
        <w:autoSpaceDN/>
        <w:bidi w:val="0"/>
        <w:adjustRightInd/>
        <w:snapToGrid/>
        <w:spacing w:after="120"/>
        <w:ind w:left="1080" w:firstLine="0" w:firstLineChars="0"/>
        <w:textAlignment w:val="auto"/>
        <w:outlineLvl w:val="9"/>
        <w:rPr>
          <w:rFonts w:hint="default" w:ascii="Times New Roman" w:hAnsi="Times New Roman" w:eastAsia="宋体" w:cs="Times New Roman"/>
          <w:color w:val="auto"/>
          <w:highlight w:val="none"/>
          <w:lang w:val="en-US" w:eastAsia="zh-CN"/>
        </w:rPr>
      </w:pPr>
    </w:p>
    <w:p w14:paraId="4F948F97">
      <w:pPr>
        <w:pageBreakBefore w:val="0"/>
        <w:kinsoku/>
        <w:wordWrap/>
        <w:topLinePunct w:val="0"/>
        <w:bidi w:val="0"/>
        <w:snapToGrid/>
        <w:outlineLvl w:val="9"/>
        <w:rPr>
          <w:rFonts w:hint="default" w:ascii="Times New Roman" w:hAnsi="Times New Roman" w:eastAsia="宋体" w:cs="Times New Roman"/>
          <w:color w:val="auto"/>
          <w:highlight w:val="none"/>
          <w:lang w:val="en-US" w:eastAsia="zh-CN"/>
        </w:rPr>
      </w:pPr>
      <w:r>
        <w:rPr>
          <w:rFonts w:hint="default" w:ascii="Times New Roman" w:hAnsi="Times New Roman" w:cs="Times New Roman"/>
          <w:b/>
          <w:bCs/>
          <w:iCs/>
          <w:color w:val="auto"/>
          <w:highlight w:val="none"/>
          <w:lang w:val="en-US" w:eastAsia="zh-CN"/>
        </w:rPr>
        <w:t>Issue 2-2b: C1 Uncertainty of the RF power measurement equipment (e.g. spectrum analyzer, power meter)</w:t>
      </w:r>
    </w:p>
    <w:p w14:paraId="43E31A8D">
      <w:pPr>
        <w:pStyle w:val="134"/>
        <w:pageBreakBefore w:val="0"/>
        <w:kinsoku/>
        <w:wordWrap/>
        <w:overflowPunct/>
        <w:topLinePunct w:val="0"/>
        <w:autoSpaceDE/>
        <w:autoSpaceDN/>
        <w:bidi w:val="0"/>
        <w:adjustRightInd/>
        <w:snapToGrid/>
        <w:spacing w:after="120"/>
        <w:ind w:left="0" w:leftChars="0" w:firstLine="0" w:firstLineChars="0"/>
        <w:textAlignment w:val="auto"/>
        <w:outlineLvl w:val="9"/>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Agreement</w:t>
      </w:r>
      <w:r>
        <w:rPr>
          <w:rFonts w:hint="default" w:ascii="Times New Roman" w:hAnsi="Times New Roman" w:eastAsia="宋体" w:cs="Times New Roman"/>
          <w:color w:val="auto"/>
          <w:highlight w:val="none"/>
          <w:lang w:val="en-US" w:eastAsia="zh-CN"/>
        </w:rPr>
        <w:t>:</w:t>
      </w:r>
    </w:p>
    <w:p w14:paraId="7E48E8EE">
      <w:pPr>
        <w:pStyle w:val="134"/>
        <w:pageBreakBefore w:val="0"/>
        <w:numPr>
          <w:ilvl w:val="0"/>
          <w:numId w:val="23"/>
        </w:numPr>
        <w:kinsoku/>
        <w:wordWrap/>
        <w:overflowPunct/>
        <w:topLinePunct w:val="0"/>
        <w:autoSpaceDE/>
        <w:autoSpaceDN/>
        <w:bidi w:val="0"/>
        <w:adjustRightInd/>
        <w:snapToGrid/>
        <w:spacing w:after="120"/>
        <w:ind w:left="420" w:leftChars="0" w:hanging="420" w:firstLineChars="0"/>
        <w:textAlignment w:val="auto"/>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Keep the C1 as 0.26dB;</w:t>
      </w:r>
    </w:p>
    <w:p w14:paraId="3B93D685">
      <w:pPr>
        <w:pStyle w:val="134"/>
        <w:pageBreakBefore w:val="0"/>
        <w:numPr>
          <w:ilvl w:val="0"/>
          <w:numId w:val="23"/>
        </w:numPr>
        <w:kinsoku/>
        <w:wordWrap/>
        <w:overflowPunct/>
        <w:topLinePunct w:val="0"/>
        <w:autoSpaceDE/>
        <w:autoSpaceDN/>
        <w:bidi w:val="0"/>
        <w:adjustRightInd/>
        <w:snapToGrid/>
        <w:spacing w:after="120"/>
        <w:ind w:left="420" w:leftChars="0" w:hanging="420" w:firstLineChars="0"/>
        <w:textAlignment w:val="auto"/>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To capture some note for C1 in TR to clarify how MU value could be improved. </w:t>
      </w:r>
    </w:p>
    <w:p w14:paraId="5F660F7C">
      <w:pPr>
        <w:pStyle w:val="134"/>
        <w:pageBreakBefore w:val="0"/>
        <w:kinsoku/>
        <w:wordWrap/>
        <w:overflowPunct/>
        <w:topLinePunct w:val="0"/>
        <w:autoSpaceDE/>
        <w:autoSpaceDN/>
        <w:bidi w:val="0"/>
        <w:adjustRightInd/>
        <w:snapToGrid/>
        <w:spacing w:after="120"/>
        <w:ind w:left="0" w:leftChars="0" w:firstLine="0" w:firstLineChars="0"/>
        <w:textAlignment w:val="auto"/>
        <w:outlineLvl w:val="9"/>
        <w:rPr>
          <w:rFonts w:hint="default" w:ascii="Times New Roman" w:hAnsi="Times New Roman" w:eastAsia="宋体" w:cs="Times New Roman"/>
          <w:color w:val="auto"/>
          <w:highlight w:val="none"/>
          <w:lang w:val="en-US" w:eastAsia="zh-CN"/>
        </w:rPr>
      </w:pPr>
    </w:p>
    <w:p w14:paraId="0299CCB0">
      <w:pPr>
        <w:pageBreakBefore w:val="0"/>
        <w:kinsoku/>
        <w:wordWrap/>
        <w:topLinePunct w:val="0"/>
        <w:bidi w:val="0"/>
        <w:snapToGrid/>
        <w:outlineLvl w:val="9"/>
        <w:rPr>
          <w:rFonts w:hint="default" w:ascii="Times New Roman" w:hAnsi="Times New Roman" w:cs="Times New Roman"/>
          <w:color w:val="auto"/>
          <w:highlight w:val="none"/>
          <w:lang w:val="en-US"/>
        </w:rPr>
      </w:pPr>
      <w:r>
        <w:rPr>
          <w:rFonts w:hint="default" w:ascii="Times New Roman" w:hAnsi="Times New Roman" w:cs="Times New Roman"/>
          <w:b/>
          <w:bCs/>
          <w:iCs/>
          <w:color w:val="auto"/>
          <w:highlight w:val="none"/>
          <w:lang w:val="en-US" w:eastAsia="zh-CN"/>
        </w:rPr>
        <w:t xml:space="preserve">Issue 2-3: overall MU for EEIRP requirement </w:t>
      </w:r>
    </w:p>
    <w:p w14:paraId="3182D52B">
      <w:pPr>
        <w:pStyle w:val="134"/>
        <w:pageBreakBefore w:val="0"/>
        <w:numPr>
          <w:ilvl w:val="0"/>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strike w:val="0"/>
          <w:dstrike w:val="0"/>
          <w:color w:val="auto"/>
          <w:highlight w:val="none"/>
          <w:lang w:val="en-US" w:eastAsia="zh-CN"/>
        </w:rPr>
      </w:pPr>
      <w:r>
        <w:rPr>
          <w:rFonts w:hint="eastAsia" w:ascii="Times New Roman" w:hAnsi="Times New Roman" w:eastAsia="宋体" w:cs="Times New Roman"/>
          <w:strike w:val="0"/>
          <w:dstrike w:val="0"/>
          <w:color w:val="auto"/>
          <w:highlight w:val="none"/>
          <w:lang w:val="en-US" w:eastAsia="zh-CN"/>
        </w:rPr>
        <w:t>Agreement</w:t>
      </w:r>
      <w:r>
        <w:rPr>
          <w:rFonts w:hint="default" w:ascii="Times New Roman" w:hAnsi="Times New Roman" w:eastAsia="宋体" w:cs="Times New Roman"/>
          <w:strike w:val="0"/>
          <w:dstrike w:val="0"/>
          <w:color w:val="auto"/>
          <w:highlight w:val="none"/>
          <w:lang w:val="en-US" w:eastAsia="zh-CN"/>
        </w:rPr>
        <w:t>:</w:t>
      </w:r>
    </w:p>
    <w:p w14:paraId="1EC44A50">
      <w:pPr>
        <w:pStyle w:val="134"/>
        <w:pageBreakBefore w:val="0"/>
        <w:numPr>
          <w:ilvl w:val="0"/>
          <w:numId w:val="23"/>
        </w:numPr>
        <w:kinsoku/>
        <w:wordWrap/>
        <w:overflowPunct/>
        <w:topLinePunct w:val="0"/>
        <w:autoSpaceDE/>
        <w:autoSpaceDN/>
        <w:bidi w:val="0"/>
        <w:adjustRightInd/>
        <w:snapToGrid/>
        <w:spacing w:after="120"/>
        <w:ind w:left="420" w:leftChars="0" w:hanging="420" w:firstLineChars="0"/>
        <w:textAlignment w:val="auto"/>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 [1.7dB]</w:t>
      </w:r>
    </w:p>
    <w:p w14:paraId="100F7C0F">
      <w:pPr>
        <w:pStyle w:val="134"/>
        <w:pageBreakBefore w:val="0"/>
        <w:numPr>
          <w:ilvl w:val="0"/>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color w:val="auto"/>
          <w:highlight w:val="none"/>
          <w:lang w:val="en-US" w:eastAsia="zh-CN"/>
        </w:rPr>
      </w:pPr>
    </w:p>
    <w:p w14:paraId="3E90F14E">
      <w:pPr>
        <w:pageBreakBefore w:val="0"/>
        <w:kinsoku/>
        <w:wordWrap/>
        <w:topLinePunct w:val="0"/>
        <w:bidi w:val="0"/>
        <w:snapToGrid/>
        <w:outlineLvl w:val="9"/>
        <w:rPr>
          <w:rFonts w:hint="default" w:ascii="Times New Roman" w:hAnsi="Times New Roman" w:eastAsia="宋体" w:cs="Times New Roman"/>
          <w:color w:val="auto"/>
          <w:highlight w:val="none"/>
          <w:lang w:val="en-US" w:eastAsia="zh-CN"/>
        </w:rPr>
      </w:pPr>
      <w:r>
        <w:rPr>
          <w:rFonts w:hint="default" w:ascii="Times New Roman" w:hAnsi="Times New Roman" w:cs="Times New Roman"/>
          <w:b/>
          <w:bCs/>
          <w:iCs/>
          <w:color w:val="auto"/>
          <w:highlight w:val="none"/>
          <w:lang w:val="en-US" w:eastAsia="zh-CN"/>
        </w:rPr>
        <w:t>Issue 2-4: mechanical tilts related issue</w:t>
      </w:r>
    </w:p>
    <w:p w14:paraId="2B5841D9">
      <w:pPr>
        <w:pStyle w:val="134"/>
        <w:pageBreakBefore w:val="0"/>
        <w:numPr>
          <w:ilvl w:val="0"/>
          <w:numId w:val="0"/>
        </w:numPr>
        <w:kinsoku/>
        <w:wordWrap/>
        <w:overflowPunct/>
        <w:topLinePunct w:val="0"/>
        <w:autoSpaceDE/>
        <w:autoSpaceDN/>
        <w:bidi w:val="0"/>
        <w:adjustRightInd/>
        <w:snapToGrid/>
        <w:spacing w:after="120" w:line="259" w:lineRule="auto"/>
        <w:textAlignment w:val="auto"/>
        <w:outlineLvl w:val="9"/>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Agreement</w:t>
      </w:r>
      <w:r>
        <w:rPr>
          <w:rFonts w:hint="default" w:ascii="Times New Roman" w:hAnsi="Times New Roman" w:eastAsia="宋体" w:cs="Times New Roman"/>
          <w:color w:val="auto"/>
          <w:highlight w:val="none"/>
          <w:lang w:val="en-US" w:eastAsia="zh-CN"/>
        </w:rPr>
        <w:t>:</w:t>
      </w:r>
    </w:p>
    <w:p w14:paraId="1C3D0BB6">
      <w:pPr>
        <w:pStyle w:val="134"/>
        <w:pageBreakBefore w:val="0"/>
        <w:numPr>
          <w:ilvl w:val="0"/>
          <w:numId w:val="23"/>
        </w:numPr>
        <w:kinsoku/>
        <w:wordWrap/>
        <w:overflowPunct/>
        <w:topLinePunct w:val="0"/>
        <w:autoSpaceDE/>
        <w:autoSpaceDN/>
        <w:bidi w:val="0"/>
        <w:adjustRightInd/>
        <w:snapToGrid/>
        <w:spacing w:after="120"/>
        <w:ind w:left="420" w:leftChars="0" w:hanging="420" w:firstLineChars="0"/>
        <w:textAlignment w:val="auto"/>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To capture the EEIRP equation transformation in the Annex N with the mechanical tilt;</w:t>
      </w:r>
    </w:p>
    <w:p w14:paraId="21F1E4C3">
      <w:pPr>
        <w:pStyle w:val="134"/>
        <w:pageBreakBefore w:val="0"/>
        <w:numPr>
          <w:ilvl w:val="0"/>
          <w:numId w:val="23"/>
        </w:numPr>
        <w:kinsoku/>
        <w:wordWrap/>
        <w:overflowPunct/>
        <w:topLinePunct w:val="0"/>
        <w:autoSpaceDE/>
        <w:autoSpaceDN/>
        <w:bidi w:val="0"/>
        <w:adjustRightInd/>
        <w:snapToGrid/>
        <w:spacing w:after="120"/>
        <w:ind w:left="420" w:leftChars="0" w:hanging="420" w:firstLineChars="0"/>
        <w:textAlignment w:val="auto"/>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To clarify the coordinate system for measurement and EEIRP calculation in the Annex N</w:t>
      </w:r>
    </w:p>
    <w:p w14:paraId="378DD6C4">
      <w:pPr>
        <w:rPr>
          <w:rFonts w:hint="eastAsia"/>
          <w:lang w:val="en-US" w:eastAsia="zh-CN"/>
        </w:rPr>
      </w:pPr>
    </w:p>
    <w:p w14:paraId="314ED97D">
      <w:pPr>
        <w:pageBreakBefore w:val="0"/>
        <w:kinsoku/>
        <w:wordWrap/>
        <w:topLinePunct w:val="0"/>
        <w:bidi w:val="0"/>
        <w:snapToGrid/>
        <w:outlineLvl w:val="9"/>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Perf part for </w:t>
      </w:r>
      <w:r>
        <w:rPr>
          <w:rFonts w:hint="eastAsia" w:cs="Times New Roman"/>
          <w:b/>
          <w:bCs/>
          <w:lang w:val="en-US" w:eastAsia="zh-CN"/>
        </w:rPr>
        <w:t>Test scope simplification and TRP simplification</w:t>
      </w:r>
      <w:r>
        <w:rPr>
          <w:rFonts w:hint="eastAsia" w:ascii="Times New Roman" w:hAnsi="Times New Roman" w:cs="Times New Roman"/>
          <w:b/>
          <w:bCs/>
          <w:lang w:val="en-US" w:eastAsia="zh-CN"/>
        </w:rPr>
        <w:t>:</w:t>
      </w:r>
    </w:p>
    <w:p w14:paraId="128414A4">
      <w:pPr>
        <w:rPr>
          <w:rFonts w:hint="default" w:ascii="Times New Roman" w:hAnsi="Times New Roman" w:cs="Times New Roman"/>
          <w:b/>
          <w:bCs/>
          <w:iCs/>
          <w:color w:val="auto"/>
          <w:lang w:val="en-US" w:eastAsia="zh-CN"/>
        </w:rPr>
      </w:pPr>
      <w:r>
        <w:rPr>
          <w:rFonts w:hint="default" w:ascii="Times New Roman" w:hAnsi="Times New Roman" w:cs="Times New Roman"/>
          <w:b/>
          <w:bCs/>
          <w:iCs/>
          <w:color w:val="auto"/>
          <w:lang w:val="en-US" w:eastAsia="zh-CN"/>
        </w:rPr>
        <w:t>Issue 1-1-1: test scope reduction for Tx requirement</w:t>
      </w:r>
    </w:p>
    <w:p w14:paraId="41E5877E">
      <w:pPr>
        <w:pStyle w:val="134"/>
        <w:numPr>
          <w:ilvl w:val="0"/>
          <w:numId w:val="14"/>
        </w:numPr>
        <w:overflowPunct/>
        <w:autoSpaceDE/>
        <w:autoSpaceDN/>
        <w:adjustRightInd/>
        <w:spacing w:after="120"/>
        <w:ind w:left="720" w:firstLineChars="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szCs w:val="24"/>
          <w:lang w:val="en-US" w:eastAsia="zh-CN"/>
        </w:rPr>
        <w:t xml:space="preserve"> Agreement: </w:t>
      </w:r>
    </w:p>
    <w:p w14:paraId="03206809">
      <w:pPr>
        <w:pStyle w:val="134"/>
        <w:numPr>
          <w:ilvl w:val="1"/>
          <w:numId w:val="14"/>
        </w:numPr>
        <w:overflowPunct/>
        <w:autoSpaceDE/>
        <w:autoSpaceDN/>
        <w:adjustRightInd/>
        <w:spacing w:after="120"/>
        <w:ind w:left="1440" w:firstLineChars="0"/>
        <w:textAlignment w:val="auto"/>
        <w:rPr>
          <w:rFonts w:hint="default" w:ascii="Times New Roman" w:hAnsi="Times New Roman" w:cs="Times New Roman"/>
          <w:iCs/>
          <w:color w:val="auto"/>
          <w:lang w:val="en-US" w:eastAsia="zh-CN"/>
        </w:rPr>
      </w:pPr>
      <w:r>
        <w:rPr>
          <w:rFonts w:hint="default" w:ascii="Times New Roman" w:hAnsi="Times New Roman" w:cs="Times New Roman"/>
          <w:iCs/>
          <w:color w:val="auto"/>
          <w:lang w:val="en-US" w:eastAsia="zh-CN"/>
        </w:rPr>
        <w:t>Further discuss how to reduce the test simplification for OBUE limits.</w:t>
      </w:r>
    </w:p>
    <w:p w14:paraId="359692CB">
      <w:pPr>
        <w:pStyle w:val="134"/>
        <w:numPr>
          <w:ilvl w:val="2"/>
          <w:numId w:val="14"/>
        </w:numPr>
        <w:overflowPunct/>
        <w:autoSpaceDE/>
        <w:autoSpaceDN/>
        <w:adjustRightInd/>
        <w:spacing w:after="120"/>
        <w:ind w:left="1860" w:firstLineChars="0"/>
        <w:textAlignment w:val="auto"/>
        <w:rPr>
          <w:rFonts w:hint="default" w:ascii="Times New Roman" w:hAnsi="Times New Roman" w:cs="Times New Roman"/>
          <w:iCs/>
          <w:color w:val="auto"/>
          <w:lang w:val="en-US" w:eastAsia="zh-CN"/>
        </w:rPr>
      </w:pPr>
      <w:r>
        <w:rPr>
          <w:rFonts w:hint="default" w:ascii="Times New Roman" w:hAnsi="Times New Roman" w:cs="Times New Roman"/>
          <w:iCs/>
          <w:color w:val="auto"/>
          <w:lang w:val="en-US" w:eastAsia="zh-CN"/>
        </w:rPr>
        <w:t xml:space="preserve">Option 1: </w:t>
      </w:r>
      <w:r>
        <w:rPr>
          <w:rFonts w:hint="default" w:ascii="Times New Roman" w:hAnsi="Times New Roman" w:eastAsia="宋体" w:cs="Times New Roman"/>
          <w:color w:val="auto"/>
          <w:szCs w:val="24"/>
          <w:lang w:val="en-US" w:eastAsia="zh-CN"/>
        </w:rPr>
        <w:t>1st frequency offset</w:t>
      </w:r>
    </w:p>
    <w:p w14:paraId="0870A186">
      <w:pPr>
        <w:pStyle w:val="134"/>
        <w:numPr>
          <w:ilvl w:val="2"/>
          <w:numId w:val="14"/>
        </w:numPr>
        <w:overflowPunct/>
        <w:autoSpaceDE/>
        <w:autoSpaceDN/>
        <w:adjustRightInd/>
        <w:spacing w:after="120"/>
        <w:ind w:left="1860" w:firstLineChars="0"/>
        <w:textAlignment w:val="auto"/>
        <w:rPr>
          <w:rFonts w:hint="default" w:ascii="Times New Roman" w:hAnsi="Times New Roman" w:cs="Times New Roman"/>
          <w:iCs/>
          <w:color w:val="auto"/>
          <w:lang w:val="en-US" w:eastAsia="zh-CN"/>
        </w:rPr>
      </w:pPr>
      <w:r>
        <w:rPr>
          <w:rFonts w:hint="default" w:ascii="Times New Roman" w:hAnsi="Times New Roman" w:eastAsia="宋体" w:cs="Times New Roman"/>
          <w:color w:val="auto"/>
          <w:szCs w:val="24"/>
          <w:lang w:val="en-US" w:eastAsia="zh-CN"/>
        </w:rPr>
        <w:t>Option 2: 3rd frequency offset to check OBUE limits</w:t>
      </w:r>
    </w:p>
    <w:p w14:paraId="3ECE019E">
      <w:pPr>
        <w:pStyle w:val="134"/>
        <w:numPr>
          <w:ilvl w:val="1"/>
          <w:numId w:val="14"/>
        </w:numPr>
        <w:overflowPunct/>
        <w:autoSpaceDE/>
        <w:autoSpaceDN/>
        <w:adjustRightInd/>
        <w:spacing w:after="120"/>
        <w:ind w:left="1440" w:firstLineChars="0"/>
        <w:textAlignment w:val="auto"/>
        <w:rPr>
          <w:rFonts w:hint="default" w:ascii="Times New Roman" w:hAnsi="Times New Roman" w:cs="Times New Roman"/>
          <w:iCs/>
          <w:color w:val="auto"/>
          <w:lang w:val="en-US" w:eastAsia="zh-CN"/>
        </w:rPr>
      </w:pPr>
      <w:r>
        <w:rPr>
          <w:rFonts w:hint="default" w:ascii="Times New Roman" w:hAnsi="Times New Roman" w:cs="Times New Roman"/>
          <w:iCs/>
          <w:color w:val="auto"/>
          <w:lang w:val="en-US" w:eastAsia="zh-CN"/>
        </w:rPr>
        <w:t>Further discuss how to reduce the test simplification for spurious limits.</w:t>
      </w:r>
    </w:p>
    <w:p w14:paraId="2866AF00">
      <w:pPr>
        <w:pStyle w:val="134"/>
        <w:numPr>
          <w:ilvl w:val="2"/>
          <w:numId w:val="14"/>
        </w:numPr>
        <w:overflowPunct/>
        <w:autoSpaceDE/>
        <w:autoSpaceDN/>
        <w:adjustRightInd/>
        <w:spacing w:after="120"/>
        <w:ind w:left="186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eastAsia="宋体" w:cs="Times New Roman"/>
          <w:color w:val="auto"/>
          <w:szCs w:val="24"/>
          <w:lang w:val="en-US" w:eastAsia="zh-CN"/>
        </w:rPr>
        <w:t>Option 1: 3rd frequency offset</w:t>
      </w:r>
    </w:p>
    <w:p w14:paraId="3D3351A2">
      <w:pPr>
        <w:pStyle w:val="134"/>
        <w:numPr>
          <w:ilvl w:val="2"/>
          <w:numId w:val="14"/>
        </w:numPr>
        <w:overflowPunct/>
        <w:autoSpaceDE/>
        <w:autoSpaceDN/>
        <w:adjustRightInd/>
        <w:spacing w:after="120"/>
        <w:ind w:left="1860" w:firstLineChars="0"/>
        <w:textAlignment w:val="auto"/>
        <w:rPr>
          <w:rFonts w:hint="default" w:ascii="Times New Roman" w:hAnsi="Times New Roman" w:eastAsia="宋体" w:cs="Times New Roman"/>
          <w:color w:val="auto"/>
          <w:szCs w:val="24"/>
          <w:lang w:val="en-US" w:eastAsia="zh-CN"/>
        </w:rPr>
      </w:pPr>
      <w:r>
        <w:rPr>
          <w:rFonts w:hint="default" w:ascii="Times New Roman" w:hAnsi="Times New Roman" w:cs="Times New Roman"/>
          <w:iCs/>
          <w:color w:val="auto"/>
          <w:lang w:val="en-US" w:eastAsia="zh-CN"/>
        </w:rPr>
        <w:t xml:space="preserve">Option 2: </w:t>
      </w:r>
      <w:r>
        <w:rPr>
          <w:rFonts w:hint="default" w:ascii="Times New Roman" w:hAnsi="Times New Roman" w:eastAsia="宋体" w:cs="Times New Roman"/>
          <w:color w:val="auto"/>
          <w:szCs w:val="24"/>
          <w:lang w:val="en-US" w:eastAsia="zh-CN"/>
        </w:rPr>
        <w:t>For bands with operating band &lt; 100 MHz to use 1st interferer offset and for bands with operating band &gt;= 100MHz to use 3rd interferer offset.</w:t>
      </w:r>
    </w:p>
    <w:p w14:paraId="1178F9C9">
      <w:pPr>
        <w:pStyle w:val="134"/>
        <w:overflowPunct/>
        <w:autoSpaceDE/>
        <w:autoSpaceDN/>
        <w:adjustRightInd/>
        <w:spacing w:after="120"/>
        <w:ind w:left="660" w:firstLine="0" w:firstLineChars="0"/>
        <w:textAlignment w:val="auto"/>
        <w:rPr>
          <w:rFonts w:hint="default" w:ascii="Times New Roman" w:hAnsi="Times New Roman" w:cs="Times New Roman"/>
          <w:iCs/>
          <w:color w:val="auto"/>
          <w:lang w:val="en-US" w:eastAsia="zh-CN"/>
        </w:rPr>
      </w:pPr>
    </w:p>
    <w:p w14:paraId="4DE22701">
      <w:pPr>
        <w:rPr>
          <w:rFonts w:hint="default" w:ascii="Times New Roman" w:hAnsi="Times New Roman" w:cs="Times New Roman"/>
          <w:b/>
          <w:bCs/>
          <w:iCs/>
          <w:color w:val="auto"/>
          <w:lang w:val="en-US" w:eastAsia="zh-CN"/>
        </w:rPr>
      </w:pPr>
      <w:r>
        <w:rPr>
          <w:rFonts w:hint="default" w:ascii="Times New Roman" w:hAnsi="Times New Roman" w:cs="Times New Roman"/>
          <w:b/>
          <w:bCs/>
          <w:iCs/>
          <w:color w:val="auto"/>
          <w:lang w:val="en-US" w:eastAsia="zh-CN"/>
        </w:rPr>
        <w:t>Issue 1-1-2: Reduction of  test configuration for Tx requirement</w:t>
      </w:r>
    </w:p>
    <w:p w14:paraId="04FA0D83">
      <w:pPr>
        <w:pStyle w:val="134"/>
        <w:numPr>
          <w:ilvl w:val="0"/>
          <w:numId w:val="14"/>
        </w:numPr>
        <w:overflowPunct/>
        <w:autoSpaceDE/>
        <w:autoSpaceDN/>
        <w:adjustRightInd/>
        <w:spacing w:after="120"/>
        <w:ind w:left="720" w:firstLineChars="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szCs w:val="24"/>
          <w:lang w:val="en-US" w:eastAsia="zh-CN"/>
        </w:rPr>
        <w:t xml:space="preserve">Agreement: </w:t>
      </w:r>
    </w:p>
    <w:p w14:paraId="6CA4E568">
      <w:pPr>
        <w:pStyle w:val="134"/>
        <w:numPr>
          <w:ilvl w:val="1"/>
          <w:numId w:val="14"/>
        </w:numPr>
        <w:overflowPunct/>
        <w:autoSpaceDE/>
        <w:autoSpaceDN/>
        <w:adjustRightInd/>
        <w:spacing w:after="120"/>
        <w:ind w:left="1440" w:firstLineChars="0"/>
        <w:textAlignment w:val="auto"/>
        <w:rPr>
          <w:rFonts w:hint="default" w:ascii="Times New Roman" w:hAnsi="Times New Roman" w:cs="Times New Roman"/>
          <w:iCs/>
          <w:color w:val="auto"/>
          <w:lang w:val="en-US" w:eastAsia="zh-CN"/>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"_Toc194066168" </w:instrText>
      </w:r>
      <w:r>
        <w:rPr>
          <w:rFonts w:hint="default" w:ascii="Times New Roman" w:hAnsi="Times New Roman" w:cs="Times New Roman"/>
          <w:color w:val="auto"/>
        </w:rPr>
        <w:fldChar w:fldCharType="separate"/>
      </w:r>
      <w:r>
        <w:rPr>
          <w:rFonts w:hint="default" w:ascii="Times New Roman" w:hAnsi="Times New Roman" w:cs="Times New Roman"/>
          <w:iCs/>
          <w:color w:val="auto"/>
          <w:lang w:val="en-US" w:eastAsia="zh-CN"/>
        </w:rPr>
        <w:t xml:space="preserve">Proposal 1: </w:t>
      </w:r>
      <w:r>
        <w:rPr>
          <w:rFonts w:hint="default" w:ascii="Times New Roman" w:hAnsi="Times New Roman" w:cs="Times New Roman"/>
          <w:iCs/>
          <w:color w:val="auto"/>
          <w:lang w:val="zh-CN" w:eastAsia="zh-CN"/>
        </w:rPr>
        <w:tab/>
      </w:r>
      <w:r>
        <w:rPr>
          <w:rFonts w:hint="default" w:ascii="Times New Roman" w:hAnsi="Times New Roman" w:cs="Times New Roman"/>
          <w:iCs/>
          <w:color w:val="auto"/>
          <w:lang w:val="en-US" w:eastAsia="zh-CN"/>
        </w:rPr>
        <w:t>For the reduction of test configurations for TX IM requirement, regardless of the test configuration selected (ATCRx or ANTCRx), the condition of maximum output power – Rated total output power (Prated,t,AC, or Prated,t,TABC) – should be met.</w:t>
      </w:r>
      <w:r>
        <w:rPr>
          <w:rFonts w:hint="default" w:ascii="Times New Roman" w:hAnsi="Times New Roman" w:cs="Times New Roman"/>
          <w:iCs/>
          <w:color w:val="auto"/>
          <w:lang w:val="en-US" w:eastAsia="zh-CN"/>
        </w:rPr>
        <w:fldChar w:fldCharType="end"/>
      </w:r>
    </w:p>
    <w:p w14:paraId="0C7281E7">
      <w:pPr>
        <w:pStyle w:val="134"/>
        <w:overflowPunct/>
        <w:autoSpaceDE/>
        <w:autoSpaceDN/>
        <w:adjustRightInd/>
        <w:spacing w:after="120"/>
        <w:ind w:firstLine="0" w:firstLineChars="0"/>
        <w:textAlignment w:val="auto"/>
        <w:rPr>
          <w:rFonts w:hint="default" w:ascii="Times New Roman" w:hAnsi="Times New Roman" w:cs="Times New Roman"/>
          <w:iCs/>
          <w:color w:val="auto"/>
          <w:lang w:val="en-US" w:eastAsia="zh-CN"/>
        </w:rPr>
      </w:pPr>
    </w:p>
    <w:p w14:paraId="65A16850">
      <w:pPr>
        <w:rPr>
          <w:rFonts w:hint="default" w:ascii="Times New Roman" w:hAnsi="Times New Roman" w:cs="Times New Roman"/>
          <w:b/>
          <w:bCs/>
          <w:iCs/>
          <w:color w:val="auto"/>
          <w:lang w:val="en-US" w:eastAsia="zh-CN"/>
        </w:rPr>
      </w:pPr>
      <w:r>
        <w:rPr>
          <w:rFonts w:hint="default" w:ascii="Times New Roman" w:hAnsi="Times New Roman" w:cs="Times New Roman"/>
          <w:b/>
          <w:bCs/>
          <w:iCs/>
          <w:color w:val="auto"/>
          <w:lang w:val="en-US" w:eastAsia="zh-CN"/>
        </w:rPr>
        <w:t>Issue 1-2-1: Out of band blocking</w:t>
      </w:r>
    </w:p>
    <w:p w14:paraId="19BE45B9">
      <w:pPr>
        <w:pStyle w:val="134"/>
        <w:numPr>
          <w:ilvl w:val="0"/>
          <w:numId w:val="14"/>
        </w:numPr>
        <w:overflowPunct/>
        <w:autoSpaceDE/>
        <w:autoSpaceDN/>
        <w:adjustRightInd/>
        <w:spacing w:after="120"/>
        <w:ind w:left="720" w:firstLineChars="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szCs w:val="24"/>
          <w:lang w:val="en-US" w:eastAsia="zh-CN"/>
        </w:rPr>
        <w:t xml:space="preserve">Agreement on step size of OOBB requirement for further discussion: </w:t>
      </w:r>
    </w:p>
    <w:p w14:paraId="40E6A158">
      <w:pPr>
        <w:pStyle w:val="134"/>
        <w:numPr>
          <w:ilvl w:val="2"/>
          <w:numId w:val="14"/>
        </w:numPr>
        <w:overflowPunct/>
        <w:autoSpaceDE/>
        <w:autoSpaceDN/>
        <w:adjustRightInd/>
        <w:spacing w:after="120"/>
        <w:ind w:left="1860" w:firstLineChars="0"/>
        <w:textAlignment w:val="auto"/>
        <w:rPr>
          <w:rFonts w:hint="default" w:ascii="Times New Roman" w:hAnsi="Times New Roman" w:cs="Times New Roman"/>
          <w:iCs/>
          <w:color w:val="auto"/>
          <w:lang w:val="en-US" w:eastAsia="zh-CN"/>
        </w:rPr>
      </w:pPr>
      <w:r>
        <w:rPr>
          <w:rFonts w:hint="default" w:ascii="Times New Roman" w:hAnsi="Times New Roman" w:cs="Times New Roman"/>
          <w:iCs/>
          <w:color w:val="auto"/>
          <w:lang w:val="en-US" w:eastAsia="zh-CN"/>
        </w:rPr>
        <w:t xml:space="preserve">Option 1: 1/3 of the minimum supported bandwidth </w:t>
      </w:r>
    </w:p>
    <w:p w14:paraId="3DB568A9">
      <w:pPr>
        <w:pStyle w:val="134"/>
        <w:numPr>
          <w:ilvl w:val="2"/>
          <w:numId w:val="14"/>
        </w:numPr>
        <w:overflowPunct/>
        <w:autoSpaceDE/>
        <w:autoSpaceDN/>
        <w:adjustRightInd/>
        <w:spacing w:after="120"/>
        <w:ind w:left="1860" w:firstLineChars="0"/>
        <w:textAlignment w:val="auto"/>
        <w:rPr>
          <w:rFonts w:hint="default" w:ascii="Times New Roman" w:hAnsi="Times New Roman" w:cs="Times New Roman"/>
          <w:iCs/>
          <w:color w:val="auto"/>
          <w:lang w:val="en-US" w:eastAsia="zh-CN"/>
        </w:rPr>
      </w:pPr>
      <w:r>
        <w:rPr>
          <w:rFonts w:hint="default" w:ascii="Times New Roman" w:hAnsi="Times New Roman" w:cs="Times New Roman"/>
          <w:iCs/>
          <w:color w:val="auto"/>
          <w:lang w:val="en-US" w:eastAsia="zh-CN"/>
        </w:rPr>
        <w:t xml:space="preserve">Option 2: </w:t>
      </w:r>
      <w:r>
        <w:rPr>
          <w:rFonts w:hint="default" w:ascii="Times New Roman" w:hAnsi="Times New Roman" w:cs="Times New Roman"/>
          <w:iCs/>
          <w:color w:val="auto"/>
          <w:highlight w:val="none"/>
          <w:lang w:val="en-US" w:eastAsia="zh-CN"/>
        </w:rPr>
        <w:t xml:space="preserve">Option 2: </w:t>
      </w:r>
      <w:r>
        <w:rPr>
          <w:rFonts w:hint="default" w:ascii="Times New Roman" w:hAnsi="Times New Roman" w:eastAsia="宋体" w:cs="Times New Roman"/>
          <w:color w:val="auto"/>
          <w:szCs w:val="24"/>
          <w:highlight w:val="none"/>
          <w:lang w:val="en-US" w:eastAsia="zh-CN"/>
        </w:rPr>
        <w:t xml:space="preserve">Use 1% of the momentary frequency as the step size for OTA receiver out-of-band blocking testing for frequencies up to 6000 MHz. Use a fixed step size of 60 MHz for frequencies higher than 6000 MHz </w:t>
      </w:r>
    </w:p>
    <w:p w14:paraId="3ECAC304">
      <w:pPr>
        <w:pStyle w:val="134"/>
        <w:numPr>
          <w:ilvl w:val="2"/>
          <w:numId w:val="14"/>
        </w:numPr>
        <w:overflowPunct/>
        <w:autoSpaceDE/>
        <w:autoSpaceDN/>
        <w:adjustRightInd/>
        <w:spacing w:after="120"/>
        <w:ind w:left="1860" w:firstLineChars="0"/>
        <w:textAlignment w:val="auto"/>
        <w:rPr>
          <w:rFonts w:hint="default" w:ascii="Times New Roman" w:hAnsi="Times New Roman" w:cs="Times New Roman"/>
          <w:iCs/>
          <w:color w:val="auto"/>
          <w:lang w:val="en-US" w:eastAsia="zh-CN"/>
        </w:rPr>
      </w:pPr>
      <w:r>
        <w:rPr>
          <w:rFonts w:hint="default" w:ascii="Times New Roman" w:hAnsi="Times New Roman" w:cs="Times New Roman"/>
          <w:iCs/>
          <w:color w:val="auto"/>
          <w:lang w:val="en-US" w:eastAsia="zh-CN"/>
        </w:rPr>
        <w:t>Other options are not precluded.</w:t>
      </w:r>
    </w:p>
    <w:p w14:paraId="65291F0A">
      <w:pPr>
        <w:rPr>
          <w:rFonts w:hint="default" w:ascii="Times New Roman" w:hAnsi="Times New Roman" w:cs="Times New Roman"/>
          <w:b/>
          <w:bCs/>
          <w:iCs/>
          <w:color w:val="auto"/>
          <w:lang w:val="en-US" w:eastAsia="zh-CN"/>
        </w:rPr>
      </w:pPr>
    </w:p>
    <w:p w14:paraId="014786EC">
      <w:pPr>
        <w:rPr>
          <w:rFonts w:hint="default" w:ascii="Times New Roman" w:hAnsi="Times New Roman" w:cs="Times New Roman"/>
          <w:color w:val="auto"/>
          <w:lang w:val="en-US" w:eastAsia="zh-CN"/>
        </w:rPr>
      </w:pPr>
      <w:r>
        <w:rPr>
          <w:rFonts w:hint="default" w:ascii="Times New Roman" w:hAnsi="Times New Roman" w:cs="Times New Roman"/>
          <w:b/>
          <w:bCs/>
          <w:iCs/>
          <w:color w:val="auto"/>
          <w:lang w:val="en-US" w:eastAsia="zh-CN"/>
        </w:rPr>
        <w:t>Issue 2-2: Procedure wise clarification for different TRP measurement</w:t>
      </w:r>
    </w:p>
    <w:p w14:paraId="1D0983D4">
      <w:pPr>
        <w:rPr>
          <w:rFonts w:hint="default" w:ascii="Times New Roman" w:hAnsi="Times New Roman" w:cs="Times New Roman"/>
          <w:color w:val="auto"/>
          <w:lang w:val="en-US" w:eastAsia="zh-CN"/>
        </w:rPr>
      </w:pPr>
      <w:r>
        <w:rPr>
          <w:rFonts w:hint="default" w:ascii="Times New Roman" w:hAnsi="Times New Roman" w:eastAsia="宋体" w:cs="Times New Roman"/>
          <w:color w:val="auto"/>
          <w:szCs w:val="24"/>
          <w:lang w:val="en-US" w:eastAsia="zh-CN"/>
        </w:rPr>
        <w:t xml:space="preserve">Agreement for test method/ sampling grid simplification:  </w:t>
      </w:r>
    </w:p>
    <w:p w14:paraId="7DCB1E13">
      <w:pPr>
        <w:pStyle w:val="134"/>
        <w:numPr>
          <w:ilvl w:val="1"/>
          <w:numId w:val="14"/>
        </w:numPr>
        <w:overflowPunct/>
        <w:autoSpaceDE/>
        <w:autoSpaceDN/>
        <w:adjustRightInd/>
        <w:spacing w:after="120"/>
        <w:ind w:left="1440" w:firstLineChars="0"/>
        <w:textAlignment w:val="auto"/>
        <w:rPr>
          <w:rFonts w:hint="default" w:ascii="Times New Roman" w:hAnsi="Times New Roman" w:cs="Times New Roman"/>
          <w:iCs/>
          <w:color w:val="auto"/>
          <w:lang w:val="en-US" w:eastAsia="zh-CN"/>
        </w:rPr>
      </w:pPr>
      <w:r>
        <w:rPr>
          <w:rFonts w:hint="default" w:ascii="Times New Roman" w:hAnsi="Times New Roman" w:cs="Times New Roman"/>
          <w:iCs/>
          <w:color w:val="auto"/>
          <w:lang w:val="en-US" w:eastAsia="zh-CN"/>
        </w:rPr>
        <w:t xml:space="preserve">To </w:t>
      </w:r>
      <w:r>
        <w:rPr>
          <w:rFonts w:hint="default" w:ascii="Times New Roman" w:hAnsi="Times New Roman" w:eastAsia="宋体" w:cs="Times New Roman"/>
          <w:color w:val="auto"/>
          <w:lang w:val="en-US" w:eastAsia="zh-CN"/>
        </w:rPr>
        <w:t>follow the previous RAN4 agreement in RAN4#114 meeting: to</w:t>
      </w:r>
      <w:r>
        <w:rPr>
          <w:rFonts w:hint="default" w:ascii="Times New Roman" w:hAnsi="Times New Roman" w:cs="Times New Roman"/>
          <w:iCs/>
          <w:color w:val="auto"/>
          <w:lang w:val="en-US" w:eastAsia="zh-CN"/>
        </w:rPr>
        <w:t xml:space="preserve"> keep the current TRP testing method, TRP sampling grid and testing chamber in the specification</w:t>
      </w:r>
    </w:p>
    <w:p w14:paraId="41B628A9">
      <w:pPr>
        <w:rPr>
          <w:rFonts w:hint="default" w:ascii="Times New Roman" w:hAnsi="Times New Roman" w:cs="Times New Roman"/>
          <w:color w:val="auto"/>
          <w:lang w:val="en-US" w:eastAsia="zh-CN"/>
        </w:rPr>
      </w:pPr>
    </w:p>
    <w:p w14:paraId="3AD94500">
      <w:pPr>
        <w:rPr>
          <w:rFonts w:hint="default" w:ascii="Times New Roman" w:hAnsi="Times New Roman" w:cs="Times New Roman"/>
          <w:color w:val="auto"/>
          <w:lang w:val="en-US" w:eastAsia="zh-CN"/>
        </w:rPr>
      </w:pPr>
      <w:r>
        <w:rPr>
          <w:rFonts w:hint="default" w:ascii="Times New Roman" w:hAnsi="Times New Roman" w:eastAsia="宋体" w:cs="Times New Roman"/>
          <w:color w:val="auto"/>
          <w:szCs w:val="24"/>
          <w:lang w:val="en-US" w:eastAsia="zh-CN"/>
        </w:rPr>
        <w:t xml:space="preserve">Agreement for applicability for different requirement:  </w:t>
      </w:r>
    </w:p>
    <w:p w14:paraId="64CFE9CE">
      <w:pPr>
        <w:pStyle w:val="134"/>
        <w:numPr>
          <w:ilvl w:val="1"/>
          <w:numId w:val="14"/>
        </w:numPr>
        <w:overflowPunct/>
        <w:autoSpaceDE/>
        <w:autoSpaceDN/>
        <w:adjustRightInd/>
        <w:spacing w:after="120"/>
        <w:ind w:left="1440"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For OTA base station output power, ACLR and operating band unwanted emissions, use the following option 1 as starting point. </w:t>
      </w:r>
    </w:p>
    <w:p w14:paraId="1D9D3622">
      <w:pPr>
        <w:pStyle w:val="134"/>
        <w:numPr>
          <w:ilvl w:val="2"/>
          <w:numId w:val="14"/>
        </w:numPr>
        <w:overflowPunct/>
        <w:autoSpaceDE/>
        <w:autoSpaceDN/>
        <w:adjustRightInd/>
        <w:spacing w:after="120"/>
        <w:ind w:left="1860"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Option 1: </w:t>
      </w:r>
    </w:p>
    <w:p w14:paraId="310B463C">
      <w:pPr>
        <w:pStyle w:val="134"/>
        <w:numPr>
          <w:ilvl w:val="3"/>
          <w:numId w:val="14"/>
        </w:numPr>
        <w:overflowPunct/>
        <w:autoSpaceDE/>
        <w:autoSpaceDN/>
        <w:adjustRightInd/>
        <w:spacing w:after="120"/>
        <w:ind w:left="2280"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Step 1: [Orthogonal cut grid] (two-cuts and optional three cuts) as described in annex I.5 or Beam-based directions as described in annex I.10 may be performed if chosen for the test, go to step 2 if this step is not chosen or the BS under test fails the test in this step.</w:t>
      </w:r>
    </w:p>
    <w:p w14:paraId="4540A50D">
      <w:pPr>
        <w:pStyle w:val="134"/>
        <w:numPr>
          <w:ilvl w:val="3"/>
          <w:numId w:val="14"/>
        </w:numPr>
        <w:overflowPunct/>
        <w:autoSpaceDE/>
        <w:autoSpaceDN/>
        <w:adjustRightInd/>
        <w:spacing w:after="120"/>
        <w:ind w:left="2280"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Step 2: One of the TRP measurement procedure as described in annex I.2 to I.9 except annex I.5 shall be performed for the test.</w:t>
      </w:r>
    </w:p>
    <w:p w14:paraId="36A334F1">
      <w:pPr>
        <w:pStyle w:val="134"/>
        <w:numPr>
          <w:ilvl w:val="1"/>
          <w:numId w:val="14"/>
        </w:numPr>
        <w:overflowPunct/>
        <w:autoSpaceDE/>
        <w:autoSpaceDN/>
        <w:adjustRightInd/>
        <w:spacing w:after="120"/>
        <w:ind w:left="1440"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For OTA base station spurious emission, use the option 1 as starting point</w:t>
      </w:r>
    </w:p>
    <w:p w14:paraId="07324855">
      <w:pPr>
        <w:pStyle w:val="134"/>
        <w:numPr>
          <w:ilvl w:val="2"/>
          <w:numId w:val="14"/>
        </w:numPr>
        <w:overflowPunct/>
        <w:autoSpaceDE/>
        <w:autoSpaceDN/>
        <w:adjustRightInd/>
        <w:spacing w:after="120"/>
        <w:ind w:left="1860"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Option 1:</w:t>
      </w:r>
    </w:p>
    <w:p w14:paraId="011E4CB6">
      <w:pPr>
        <w:pStyle w:val="134"/>
        <w:numPr>
          <w:ilvl w:val="3"/>
          <w:numId w:val="14"/>
        </w:numPr>
        <w:overflowPunct/>
        <w:autoSpaceDE/>
        <w:autoSpaceDN/>
        <w:adjustRightInd/>
        <w:spacing w:after="120"/>
        <w:ind w:left="2280"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Step 1: Pre-scan as described in annex I.13 if chosen for the test, go to step 2 if this step is not chosen.</w:t>
      </w:r>
    </w:p>
    <w:p w14:paraId="0F3B3E64">
      <w:pPr>
        <w:pStyle w:val="134"/>
        <w:numPr>
          <w:ilvl w:val="3"/>
          <w:numId w:val="14"/>
        </w:numPr>
        <w:overflowPunct/>
        <w:autoSpaceDE/>
        <w:autoSpaceDN/>
        <w:adjustRightInd/>
        <w:spacing w:after="120"/>
        <w:ind w:left="2280"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Step 2: [Orthogonal cut grid] (two-cuts and optional three cuts) as described in annex I.5 or Peak method as described in annex I.11 or Equal sector with peak average as described in annex I.12 may be performed if chosen for the test, go to step 3 if this step is not chosen or the BS under test fails the test in this step.</w:t>
      </w:r>
    </w:p>
    <w:p w14:paraId="2982EEC3">
      <w:pPr>
        <w:pStyle w:val="134"/>
        <w:numPr>
          <w:ilvl w:val="3"/>
          <w:numId w:val="14"/>
        </w:numPr>
        <w:overflowPunct/>
        <w:autoSpaceDE/>
        <w:autoSpaceDN/>
        <w:adjustRightInd/>
        <w:spacing w:after="120"/>
        <w:ind w:left="2280" w:firstLineChars="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highlight w:val="none"/>
          <w:lang w:val="en-US" w:eastAsia="zh-CN"/>
        </w:rPr>
        <w:t>Step 3: One of the TRP measurement procedure as described in annex I.2 to I.9 except annex I.5 shall be performed for the test.</w:t>
      </w:r>
    </w:p>
    <w:p w14:paraId="7966128E">
      <w:pPr>
        <w:rPr>
          <w:rFonts w:hint="default" w:ascii="Times New Roman" w:hAnsi="Times New Roman" w:cs="Times New Roman"/>
          <w:color w:val="auto"/>
          <w:lang w:val="en-US"/>
        </w:rPr>
      </w:pPr>
      <w:r>
        <w:rPr>
          <w:rFonts w:hint="default" w:ascii="Times New Roman" w:hAnsi="Times New Roman" w:cs="Times New Roman"/>
          <w:b/>
          <w:bCs/>
          <w:iCs/>
          <w:color w:val="auto"/>
          <w:lang w:val="en-US" w:eastAsia="zh-CN"/>
        </w:rPr>
        <w:t>Issue 2-3:  the improvement of Pres-scan approach</w:t>
      </w:r>
    </w:p>
    <w:p w14:paraId="328CD885">
      <w:pPr>
        <w:rPr>
          <w:rFonts w:hint="default" w:ascii="Times New Roman" w:hAnsi="Times New Roman" w:cs="Times New Roman"/>
          <w:color w:val="auto"/>
          <w:lang w:val="en-US" w:eastAsia="zh-CN"/>
        </w:rPr>
      </w:pPr>
      <w:r>
        <w:rPr>
          <w:rFonts w:hint="default" w:ascii="Times New Roman" w:hAnsi="Times New Roman" w:eastAsia="宋体" w:cs="Times New Roman"/>
          <w:color w:val="auto"/>
          <w:szCs w:val="24"/>
          <w:lang w:val="en-US" w:eastAsia="zh-CN"/>
        </w:rPr>
        <w:t>Agreement</w:t>
      </w:r>
      <w:r>
        <w:rPr>
          <w:rFonts w:hint="default" w:ascii="Times New Roman" w:hAnsi="Times New Roman" w:cs="Times New Roman"/>
          <w:color w:val="auto"/>
          <w:lang w:val="en-US" w:eastAsia="zh-CN"/>
        </w:rPr>
        <w:t>:</w:t>
      </w:r>
    </w:p>
    <w:p w14:paraId="40342A1B">
      <w:pPr>
        <w:pStyle w:val="134"/>
        <w:numPr>
          <w:ilvl w:val="1"/>
          <w:numId w:val="14"/>
        </w:numPr>
        <w:overflowPunct/>
        <w:autoSpaceDE/>
        <w:autoSpaceDN/>
        <w:adjustRightInd/>
        <w:spacing w:after="120"/>
        <w:ind w:left="1440" w:firstLineChars="0"/>
        <w:textAlignment w:val="auto"/>
        <w:rPr>
          <w:rFonts w:hint="default" w:ascii="Times New Roman" w:hAnsi="Times New Roman" w:cs="Times New Roman"/>
          <w:color w:val="auto"/>
          <w:lang w:val="en-US" w:eastAsia="zh-CN"/>
        </w:rPr>
      </w:pPr>
      <w:r>
        <w:rPr>
          <w:rFonts w:hint="default" w:ascii="Times New Roman" w:hAnsi="Times New Roman" w:eastAsia="宋体" w:cs="Times New Roman"/>
          <w:color w:val="auto"/>
          <w:lang w:val="en-US" w:eastAsia="zh-CN"/>
        </w:rPr>
        <w:t xml:space="preserve">Encourage companies to provide the draft CR focusing on how to improve the test procedures for Pre-scan approach next meeting and further discuss the improvement based on draft CR directly. </w:t>
      </w:r>
    </w:p>
    <w:p w14:paraId="3AC8097A">
      <w:pPr>
        <w:rPr>
          <w:rFonts w:hint="default" w:ascii="Times New Roman" w:hAnsi="Times New Roman" w:cs="Times New Roman"/>
          <w:color w:val="auto"/>
          <w:lang w:val="en-US"/>
        </w:rPr>
      </w:pPr>
      <w:r>
        <w:rPr>
          <w:rFonts w:hint="default" w:ascii="Times New Roman" w:hAnsi="Times New Roman" w:cs="Times New Roman"/>
          <w:b/>
          <w:bCs/>
          <w:iCs/>
          <w:color w:val="auto"/>
          <w:lang w:val="en-US" w:eastAsia="zh-CN"/>
        </w:rPr>
        <w:t>Issue 2-4:  TRP uncertainty</w:t>
      </w:r>
    </w:p>
    <w:p w14:paraId="03C4DD71">
      <w:pPr>
        <w:rPr>
          <w:rFonts w:hint="default" w:ascii="Times New Roman" w:hAnsi="Times New Roman" w:cs="Times New Roman"/>
          <w:color w:val="auto"/>
          <w:lang w:val="en-US" w:eastAsia="zh-CN"/>
        </w:rPr>
      </w:pPr>
      <w:r>
        <w:rPr>
          <w:rFonts w:hint="default" w:ascii="Times New Roman" w:hAnsi="Times New Roman" w:eastAsia="宋体" w:cs="Times New Roman"/>
          <w:color w:val="auto"/>
          <w:szCs w:val="24"/>
          <w:lang w:val="en-US" w:eastAsia="zh-CN"/>
        </w:rPr>
        <w:t>Agreement</w:t>
      </w:r>
      <w:r>
        <w:rPr>
          <w:rFonts w:hint="default" w:ascii="Times New Roman" w:hAnsi="Times New Roman" w:cs="Times New Roman"/>
          <w:color w:val="auto"/>
          <w:lang w:val="en-US" w:eastAsia="zh-CN"/>
        </w:rPr>
        <w:t>:</w:t>
      </w:r>
    </w:p>
    <w:p w14:paraId="5D7A8D80">
      <w:pPr>
        <w:pStyle w:val="134"/>
        <w:numPr>
          <w:ilvl w:val="1"/>
          <w:numId w:val="14"/>
        </w:numPr>
        <w:overflowPunct/>
        <w:autoSpaceDE/>
        <w:autoSpaceDN/>
        <w:adjustRightInd/>
        <w:spacing w:after="120"/>
        <w:ind w:left="1440" w:firstLineChars="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 xml:space="preserve">To follow the previous RAN4 agreement in RAN4#114 meeting. </w:t>
      </w:r>
    </w:p>
    <w:p w14:paraId="15AA8D4C">
      <w:pPr>
        <w:rPr>
          <w:rFonts w:hint="eastAsia"/>
          <w:lang w:val="en-US" w:eastAsia="zh-CN"/>
        </w:rPr>
      </w:pPr>
    </w:p>
    <w:p w14:paraId="5BC87814">
      <w:pPr>
        <w:pStyle w:val="5"/>
        <w:rPr>
          <w:rFonts w:eastAsiaTheme="minorEastAsia"/>
          <w:lang w:val="en-US" w:eastAsia="zh-CN"/>
        </w:rPr>
      </w:pPr>
      <w:r>
        <w:rPr>
          <w:rFonts w:hint="eastAsia"/>
          <w:lang w:val="en-US" w:eastAsia="zh-CN"/>
        </w:rPr>
        <w:t xml:space="preserve">RAN4 #115: </w:t>
      </w:r>
    </w:p>
    <w:p w14:paraId="1EFC0212">
      <w:pPr>
        <w:pageBreakBefore w:val="0"/>
        <w:kinsoku/>
        <w:wordWrap/>
        <w:topLinePunct w:val="0"/>
        <w:bidi w:val="0"/>
        <w:snapToGrid/>
        <w:outlineLvl w:val="9"/>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Core part for </w:t>
      </w:r>
      <w:r>
        <w:rPr>
          <w:rFonts w:hint="default" w:ascii="Times New Roman" w:hAnsi="Times New Roman" w:cs="Times New Roman"/>
          <w:b/>
          <w:bCs/>
          <w:lang w:val="en-US" w:eastAsia="zh-CN"/>
        </w:rPr>
        <w:t xml:space="preserve">CLTA: </w:t>
      </w:r>
    </w:p>
    <w:p w14:paraId="04E2598D">
      <w:pPr>
        <w:pageBreakBefore w:val="0"/>
        <w:kinsoku/>
        <w:wordWrap/>
        <w:topLinePunct w:val="0"/>
        <w:bidi w:val="0"/>
        <w:snapToGrid/>
        <w:outlineLvl w:val="9"/>
      </w:pPr>
      <w:r>
        <w:t>Sub-topic 1-1: BS-to-BS isolation analysis</w:t>
      </w:r>
    </w:p>
    <w:p w14:paraId="12B33D3F">
      <w:pPr>
        <w:pageBreakBefore w:val="0"/>
        <w:kinsoku/>
        <w:wordWrap/>
        <w:topLinePunct w:val="0"/>
        <w:bidi w:val="0"/>
        <w:snapToGrid/>
        <w:outlineLvl w:val="9"/>
        <w:rPr>
          <w:rFonts w:hint="default" w:ascii="Times New Roman" w:hAnsi="Times New Roman" w:cs="Times New Roman"/>
          <w:lang w:eastAsia="zh-CN"/>
        </w:rPr>
      </w:pPr>
      <w:r>
        <w:rPr>
          <w:rFonts w:hint="default" w:ascii="Times New Roman" w:hAnsi="Times New Roman" w:cs="Times New Roman"/>
          <w:b/>
          <w:lang w:eastAsia="zh-CN"/>
        </w:rPr>
        <w:t>Agreement</w:t>
      </w:r>
      <w:r>
        <w:rPr>
          <w:rFonts w:hint="default" w:ascii="Times New Roman" w:hAnsi="Times New Roman" w:cs="Times New Roman"/>
          <w:lang w:eastAsia="zh-CN"/>
        </w:rPr>
        <w:t xml:space="preserve">: The following data is considered baseline for the BS-BS isolation conclusions derivation: </w:t>
      </w:r>
    </w:p>
    <w:p w14:paraId="7E41E459">
      <w:pPr>
        <w:pStyle w:val="134"/>
        <w:pageBreakBefore w:val="0"/>
        <w:numPr>
          <w:ilvl w:val="0"/>
          <w:numId w:val="24"/>
        </w:numPr>
        <w:kinsoku/>
        <w:wordWrap/>
        <w:topLinePunct w:val="0"/>
        <w:bidi w:val="0"/>
        <w:snapToGrid/>
        <w:spacing w:after="120"/>
        <w:ind w:firstLineChars="0"/>
        <w:outlineLvl w:val="9"/>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No beam steering consideration; intra-band; same BS type; A-to-A (unless otherwise stated):</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gridCol w:w="2072"/>
        <w:gridCol w:w="2077"/>
        <w:gridCol w:w="2248"/>
        <w:gridCol w:w="2077"/>
      </w:tblGrid>
      <w:tr w14:paraId="5038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0" w:type="auto"/>
          </w:tcPr>
          <w:p w14:paraId="40E22211">
            <w:pPr>
              <w:pStyle w:val="48"/>
              <w:pageBreakBefore w:val="0"/>
              <w:kinsoku/>
              <w:wordWrap/>
              <w:topLinePunct w:val="0"/>
              <w:bidi w:val="0"/>
              <w:snapToGrid/>
              <w:jc w:val="center"/>
              <w:outlineLvl w:val="9"/>
              <w:rPr>
                <w:rFonts w:ascii="Times New Roman" w:hAnsi="Times New Roman" w:cs="Times New Roman"/>
                <w:sz w:val="20"/>
                <w:szCs w:val="20"/>
              </w:rPr>
            </w:pPr>
          </w:p>
        </w:tc>
        <w:tc>
          <w:tcPr>
            <w:tcW w:w="0" w:type="auto"/>
          </w:tcPr>
          <w:p w14:paraId="3E41CA35">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b/>
                <w:bCs/>
                <w:sz w:val="20"/>
                <w:szCs w:val="20"/>
              </w:rPr>
              <w:t>2.6 GHz</w:t>
            </w:r>
          </w:p>
        </w:tc>
        <w:tc>
          <w:tcPr>
            <w:tcW w:w="0" w:type="auto"/>
          </w:tcPr>
          <w:p w14:paraId="7CF71989">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b/>
                <w:bCs/>
                <w:sz w:val="20"/>
                <w:szCs w:val="20"/>
              </w:rPr>
              <w:t>3.5 GHz</w:t>
            </w:r>
          </w:p>
        </w:tc>
        <w:tc>
          <w:tcPr>
            <w:tcW w:w="0" w:type="auto"/>
          </w:tcPr>
          <w:p w14:paraId="2E9B8525">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b/>
                <w:bCs/>
                <w:sz w:val="20"/>
                <w:szCs w:val="20"/>
              </w:rPr>
              <w:t>4.9 GHz</w:t>
            </w:r>
          </w:p>
        </w:tc>
        <w:tc>
          <w:tcPr>
            <w:tcW w:w="0" w:type="auto"/>
          </w:tcPr>
          <w:p w14:paraId="1F4FB755">
            <w:pPr>
              <w:pStyle w:val="48"/>
              <w:pageBreakBefore w:val="0"/>
              <w:kinsoku/>
              <w:wordWrap/>
              <w:topLinePunct w:val="0"/>
              <w:bidi w:val="0"/>
              <w:snapToGrid/>
              <w:jc w:val="center"/>
              <w:outlineLvl w:val="9"/>
              <w:rPr>
                <w:rFonts w:ascii="Times New Roman" w:hAnsi="Times New Roman" w:cs="Times New Roman"/>
                <w:b/>
                <w:bCs/>
                <w:sz w:val="20"/>
                <w:szCs w:val="20"/>
              </w:rPr>
            </w:pPr>
            <w:r>
              <w:rPr>
                <w:rFonts w:ascii="Times New Roman" w:hAnsi="Times New Roman" w:cs="Times New Roman"/>
                <w:b/>
                <w:bCs/>
                <w:sz w:val="20"/>
                <w:szCs w:val="20"/>
              </w:rPr>
              <w:t>7 GHz</w:t>
            </w:r>
          </w:p>
        </w:tc>
      </w:tr>
      <w:tr w14:paraId="4B95C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tcPr>
          <w:p w14:paraId="348F9DE0">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Isolation in vertical domain (dB)</w:t>
            </w:r>
          </w:p>
        </w:tc>
        <w:tc>
          <w:tcPr>
            <w:tcW w:w="0" w:type="auto"/>
          </w:tcPr>
          <w:p w14:paraId="04A86DD9">
            <w:pPr>
              <w:pStyle w:val="48"/>
              <w:pageBreakBefore w:val="0"/>
              <w:kinsoku/>
              <w:wordWrap/>
              <w:topLinePunct w:val="0"/>
              <w:bidi w:val="0"/>
              <w:snapToGrid/>
              <w:jc w:val="center"/>
              <w:outlineLvl w:val="9"/>
              <w:rPr>
                <w:rFonts w:ascii="Times New Roman" w:hAnsi="Times New Roman" w:cs="Times New Roman"/>
                <w:sz w:val="20"/>
                <w:szCs w:val="20"/>
                <w:lang w:val="pl-PL"/>
              </w:rPr>
            </w:pPr>
            <w:r>
              <w:rPr>
                <w:rFonts w:ascii="Times New Roman" w:hAnsi="Times New Roman" w:cs="Times New Roman"/>
                <w:sz w:val="20"/>
                <w:szCs w:val="20"/>
                <w:lang w:val="pl-PL"/>
              </w:rPr>
              <w:t>ZTE (R4-2504358, M): -54 (</w:t>
            </w:r>
            <w:r>
              <w:rPr>
                <w:rFonts w:ascii="Times New Roman" w:hAnsi="Times New Roman" w:eastAsia="宋体" w:cs="Times New Roman"/>
                <w:sz w:val="20"/>
                <w:szCs w:val="20"/>
                <w:lang w:val="pl-PL"/>
              </w:rPr>
              <w:t>S</w:t>
            </w:r>
            <w:r>
              <w:rPr>
                <w:rFonts w:ascii="Times New Roman" w:hAnsi="Times New Roman" w:cs="Times New Roman"/>
                <w:sz w:val="20"/>
                <w:szCs w:val="20"/>
                <w:lang w:val="pl-PL"/>
              </w:rPr>
              <w:t>A-to-SA)</w:t>
            </w:r>
          </w:p>
        </w:tc>
        <w:tc>
          <w:tcPr>
            <w:tcW w:w="0" w:type="auto"/>
          </w:tcPr>
          <w:p w14:paraId="4C8ADEA5">
            <w:pPr>
              <w:pStyle w:val="48"/>
              <w:pageBreakBefore w:val="0"/>
              <w:kinsoku/>
              <w:wordWrap/>
              <w:topLinePunct w:val="0"/>
              <w:bidi w:val="0"/>
              <w:snapToGrid/>
              <w:jc w:val="center"/>
              <w:outlineLvl w:val="9"/>
              <w:rPr>
                <w:rFonts w:ascii="Times New Roman" w:hAnsi="Times New Roman" w:cs="Times New Roman"/>
                <w:sz w:val="20"/>
                <w:szCs w:val="20"/>
                <w:lang w:val="pl-PL"/>
              </w:rPr>
            </w:pPr>
            <w:r>
              <w:rPr>
                <w:rFonts w:ascii="Times New Roman" w:hAnsi="Times New Roman" w:cs="Times New Roman"/>
                <w:sz w:val="20"/>
                <w:szCs w:val="20"/>
                <w:lang w:val="pl-PL"/>
              </w:rPr>
              <w:t>ZTE (R4-2504358, M): -52</w:t>
            </w:r>
            <w:r>
              <w:rPr>
                <w:rFonts w:ascii="Times New Roman" w:hAnsi="Times New Roman" w:eastAsia="宋体" w:cs="Times New Roman"/>
                <w:sz w:val="20"/>
                <w:szCs w:val="20"/>
                <w:lang w:val="pl-PL"/>
              </w:rPr>
              <w:t xml:space="preserve"> </w:t>
            </w:r>
            <w:r>
              <w:rPr>
                <w:rFonts w:ascii="Times New Roman" w:hAnsi="Times New Roman" w:cs="Times New Roman"/>
                <w:sz w:val="20"/>
                <w:szCs w:val="20"/>
                <w:lang w:val="pl-PL"/>
              </w:rPr>
              <w:t>(</w:t>
            </w:r>
            <w:r>
              <w:rPr>
                <w:rFonts w:ascii="Times New Roman" w:hAnsi="Times New Roman" w:eastAsia="宋体" w:cs="Times New Roman"/>
                <w:sz w:val="20"/>
                <w:szCs w:val="20"/>
                <w:lang w:val="pl-PL"/>
              </w:rPr>
              <w:t>S</w:t>
            </w:r>
            <w:r>
              <w:rPr>
                <w:rFonts w:ascii="Times New Roman" w:hAnsi="Times New Roman" w:cs="Times New Roman"/>
                <w:sz w:val="20"/>
                <w:szCs w:val="20"/>
                <w:lang w:val="pl-PL"/>
              </w:rPr>
              <w:t>A-to-SA)</w:t>
            </w:r>
          </w:p>
        </w:tc>
        <w:tc>
          <w:tcPr>
            <w:tcW w:w="0" w:type="auto"/>
          </w:tcPr>
          <w:p w14:paraId="068C3E5B">
            <w:pPr>
              <w:pStyle w:val="48"/>
              <w:pageBreakBefore w:val="0"/>
              <w:kinsoku/>
              <w:wordWrap/>
              <w:topLinePunct w:val="0"/>
              <w:bidi w:val="0"/>
              <w:snapToGrid/>
              <w:jc w:val="center"/>
              <w:outlineLvl w:val="9"/>
              <w:rPr>
                <w:rFonts w:ascii="Times New Roman" w:hAnsi="Times New Roman" w:cs="Times New Roman"/>
                <w:sz w:val="20"/>
                <w:szCs w:val="20"/>
                <w:lang w:val="pl-PL"/>
              </w:rPr>
            </w:pPr>
            <w:r>
              <w:rPr>
                <w:rFonts w:ascii="Times New Roman" w:hAnsi="Times New Roman" w:cs="Times New Roman"/>
                <w:sz w:val="20"/>
                <w:szCs w:val="20"/>
                <w:lang w:val="pl-PL"/>
              </w:rPr>
              <w:t>ZTE (R4-2504358, M): -56</w:t>
            </w:r>
            <w:r>
              <w:rPr>
                <w:rFonts w:ascii="Times New Roman" w:hAnsi="Times New Roman" w:eastAsia="宋体" w:cs="Times New Roman"/>
                <w:sz w:val="20"/>
                <w:szCs w:val="20"/>
                <w:lang w:val="pl-PL"/>
              </w:rPr>
              <w:t xml:space="preserve"> </w:t>
            </w:r>
            <w:r>
              <w:rPr>
                <w:rFonts w:ascii="Times New Roman" w:hAnsi="Times New Roman" w:cs="Times New Roman"/>
                <w:sz w:val="20"/>
                <w:szCs w:val="20"/>
                <w:lang w:val="pl-PL"/>
              </w:rPr>
              <w:t>(</w:t>
            </w:r>
            <w:r>
              <w:rPr>
                <w:rFonts w:ascii="Times New Roman" w:hAnsi="Times New Roman" w:eastAsia="宋体" w:cs="Times New Roman"/>
                <w:sz w:val="20"/>
                <w:szCs w:val="20"/>
                <w:lang w:val="pl-PL"/>
              </w:rPr>
              <w:t>S</w:t>
            </w:r>
            <w:r>
              <w:rPr>
                <w:rFonts w:ascii="Times New Roman" w:hAnsi="Times New Roman" w:cs="Times New Roman"/>
                <w:sz w:val="20"/>
                <w:szCs w:val="20"/>
                <w:lang w:val="pl-PL"/>
              </w:rPr>
              <w:t>A-to-SA)</w:t>
            </w:r>
          </w:p>
        </w:tc>
        <w:tc>
          <w:tcPr>
            <w:tcW w:w="0" w:type="auto"/>
          </w:tcPr>
          <w:p w14:paraId="4D40D770">
            <w:pPr>
              <w:pStyle w:val="48"/>
              <w:pageBreakBefore w:val="0"/>
              <w:kinsoku/>
              <w:wordWrap/>
              <w:topLinePunct w:val="0"/>
              <w:bidi w:val="0"/>
              <w:snapToGrid/>
              <w:jc w:val="center"/>
              <w:outlineLvl w:val="9"/>
              <w:rPr>
                <w:rFonts w:ascii="Times New Roman" w:hAnsi="Times New Roman" w:cs="Times New Roman"/>
                <w:sz w:val="20"/>
                <w:szCs w:val="20"/>
                <w:lang w:val="pl-PL"/>
              </w:rPr>
            </w:pPr>
          </w:p>
        </w:tc>
      </w:tr>
      <w:tr w14:paraId="05DDB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tcPr>
          <w:p w14:paraId="4D15B8E0">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Isolation in horizontal domain (dB)</w:t>
            </w:r>
          </w:p>
        </w:tc>
        <w:tc>
          <w:tcPr>
            <w:tcW w:w="0" w:type="auto"/>
          </w:tcPr>
          <w:p w14:paraId="5562447D">
            <w:pPr>
              <w:pStyle w:val="48"/>
              <w:pageBreakBefore w:val="0"/>
              <w:kinsoku/>
              <w:wordWrap/>
              <w:topLinePunct w:val="0"/>
              <w:bidi w:val="0"/>
              <w:snapToGrid/>
              <w:jc w:val="center"/>
              <w:outlineLvl w:val="9"/>
              <w:rPr>
                <w:rFonts w:ascii="Times New Roman" w:hAnsi="Times New Roman" w:cs="Times New Roman"/>
                <w:sz w:val="20"/>
                <w:szCs w:val="20"/>
                <w:lang w:val="pl-PL"/>
              </w:rPr>
            </w:pPr>
            <w:r>
              <w:rPr>
                <w:rFonts w:ascii="Times New Roman" w:hAnsi="Times New Roman" w:cs="Times New Roman"/>
                <w:sz w:val="20"/>
                <w:szCs w:val="20"/>
                <w:lang w:val="pl-PL"/>
              </w:rPr>
              <w:t>ZTE (R4-2504358, M): -31</w:t>
            </w:r>
            <w:r>
              <w:rPr>
                <w:rFonts w:ascii="Times New Roman" w:hAnsi="Times New Roman" w:eastAsia="宋体" w:cs="Times New Roman"/>
                <w:sz w:val="20"/>
                <w:szCs w:val="20"/>
                <w:lang w:val="pl-PL"/>
              </w:rPr>
              <w:t xml:space="preserve"> </w:t>
            </w:r>
            <w:r>
              <w:rPr>
                <w:rFonts w:ascii="Times New Roman" w:hAnsi="Times New Roman" w:cs="Times New Roman"/>
                <w:sz w:val="20"/>
                <w:szCs w:val="20"/>
                <w:lang w:val="pl-PL"/>
              </w:rPr>
              <w:t>(</w:t>
            </w:r>
            <w:r>
              <w:rPr>
                <w:rFonts w:ascii="Times New Roman" w:hAnsi="Times New Roman" w:eastAsia="宋体" w:cs="Times New Roman"/>
                <w:sz w:val="20"/>
                <w:szCs w:val="20"/>
                <w:lang w:val="pl-PL"/>
              </w:rPr>
              <w:t>S</w:t>
            </w:r>
            <w:r>
              <w:rPr>
                <w:rFonts w:ascii="Times New Roman" w:hAnsi="Times New Roman" w:cs="Times New Roman"/>
                <w:sz w:val="20"/>
                <w:szCs w:val="20"/>
                <w:lang w:val="pl-PL"/>
              </w:rPr>
              <w:t>A-to-SA)</w:t>
            </w:r>
          </w:p>
        </w:tc>
        <w:tc>
          <w:tcPr>
            <w:tcW w:w="0" w:type="auto"/>
          </w:tcPr>
          <w:p w14:paraId="35EA4474">
            <w:pPr>
              <w:pStyle w:val="48"/>
              <w:pageBreakBefore w:val="0"/>
              <w:kinsoku/>
              <w:wordWrap/>
              <w:topLinePunct w:val="0"/>
              <w:bidi w:val="0"/>
              <w:snapToGrid/>
              <w:jc w:val="center"/>
              <w:outlineLvl w:val="9"/>
              <w:rPr>
                <w:rFonts w:ascii="Times New Roman" w:hAnsi="Times New Roman" w:cs="Times New Roman"/>
                <w:sz w:val="20"/>
                <w:szCs w:val="20"/>
                <w:lang w:val="pl-PL"/>
              </w:rPr>
            </w:pPr>
            <w:r>
              <w:rPr>
                <w:rFonts w:ascii="Times New Roman" w:hAnsi="Times New Roman" w:cs="Times New Roman"/>
                <w:sz w:val="20"/>
                <w:szCs w:val="20"/>
                <w:lang w:val="pl-PL"/>
              </w:rPr>
              <w:t>ZTE (R4-2504358, M): -34</w:t>
            </w:r>
            <w:r>
              <w:rPr>
                <w:rFonts w:ascii="Times New Roman" w:hAnsi="Times New Roman" w:eastAsia="宋体" w:cs="Times New Roman"/>
                <w:sz w:val="20"/>
                <w:szCs w:val="20"/>
                <w:lang w:val="pl-PL"/>
              </w:rPr>
              <w:t xml:space="preserve"> </w:t>
            </w:r>
            <w:r>
              <w:rPr>
                <w:rFonts w:ascii="Times New Roman" w:hAnsi="Times New Roman" w:cs="Times New Roman"/>
                <w:sz w:val="20"/>
                <w:szCs w:val="20"/>
                <w:lang w:val="pl-PL"/>
              </w:rPr>
              <w:t>(</w:t>
            </w:r>
            <w:r>
              <w:rPr>
                <w:rFonts w:ascii="Times New Roman" w:hAnsi="Times New Roman" w:eastAsia="宋体" w:cs="Times New Roman"/>
                <w:sz w:val="20"/>
                <w:szCs w:val="20"/>
                <w:lang w:val="pl-PL"/>
              </w:rPr>
              <w:t>S</w:t>
            </w:r>
            <w:r>
              <w:rPr>
                <w:rFonts w:ascii="Times New Roman" w:hAnsi="Times New Roman" w:cs="Times New Roman"/>
                <w:sz w:val="20"/>
                <w:szCs w:val="20"/>
                <w:lang w:val="pl-PL"/>
              </w:rPr>
              <w:t>A-to-SA)</w:t>
            </w:r>
          </w:p>
          <w:p w14:paraId="7750F632">
            <w:pPr>
              <w:pStyle w:val="48"/>
              <w:pageBreakBefore w:val="0"/>
              <w:kinsoku/>
              <w:wordWrap/>
              <w:topLinePunct w:val="0"/>
              <w:bidi w:val="0"/>
              <w:snapToGrid/>
              <w:jc w:val="center"/>
              <w:outlineLvl w:val="9"/>
              <w:rPr>
                <w:rFonts w:ascii="Times New Roman" w:hAnsi="Times New Roman" w:cs="Times New Roman"/>
                <w:sz w:val="20"/>
                <w:szCs w:val="20"/>
                <w:lang w:val="pl-PL"/>
              </w:rPr>
            </w:pPr>
            <w:r>
              <w:rPr>
                <w:rFonts w:ascii="Times New Roman" w:hAnsi="Times New Roman" w:cs="Times New Roman"/>
                <w:sz w:val="20"/>
                <w:szCs w:val="20"/>
                <w:lang w:val="pl-PL"/>
              </w:rPr>
              <w:t>Huawei (R4-2504594, M): -46</w:t>
            </w:r>
          </w:p>
          <w:p w14:paraId="7801D71E">
            <w:pPr>
              <w:pStyle w:val="48"/>
              <w:pageBreakBefore w:val="0"/>
              <w:kinsoku/>
              <w:wordWrap/>
              <w:topLinePunct w:val="0"/>
              <w:bidi w:val="0"/>
              <w:snapToGrid/>
              <w:jc w:val="center"/>
              <w:outlineLvl w:val="9"/>
              <w:rPr>
                <w:rFonts w:ascii="Times New Roman" w:hAnsi="Times New Roman" w:cs="Times New Roman"/>
                <w:sz w:val="20"/>
                <w:szCs w:val="20"/>
                <w:lang w:val="pl-PL"/>
              </w:rPr>
            </w:pPr>
            <w:r>
              <w:rPr>
                <w:rFonts w:ascii="Times New Roman" w:hAnsi="Times New Roman" w:cs="Times New Roman"/>
                <w:sz w:val="20"/>
                <w:szCs w:val="20"/>
                <w:lang w:val="pl-PL"/>
              </w:rPr>
              <w:t>Nokia (R4-2507633, M): -35 (A-to-SA)</w:t>
            </w:r>
          </w:p>
        </w:tc>
        <w:tc>
          <w:tcPr>
            <w:tcW w:w="0" w:type="auto"/>
          </w:tcPr>
          <w:p w14:paraId="79A69CF2">
            <w:pPr>
              <w:pStyle w:val="48"/>
              <w:pageBreakBefore w:val="0"/>
              <w:kinsoku/>
              <w:wordWrap/>
              <w:topLinePunct w:val="0"/>
              <w:bidi w:val="0"/>
              <w:snapToGrid/>
              <w:jc w:val="center"/>
              <w:outlineLvl w:val="9"/>
              <w:rPr>
                <w:rFonts w:ascii="Times New Roman" w:hAnsi="Times New Roman" w:cs="Times New Roman"/>
                <w:sz w:val="20"/>
                <w:szCs w:val="20"/>
                <w:lang w:val="pl-PL"/>
              </w:rPr>
            </w:pPr>
            <w:r>
              <w:rPr>
                <w:rFonts w:ascii="Times New Roman" w:hAnsi="Times New Roman" w:cs="Times New Roman"/>
                <w:sz w:val="20"/>
                <w:szCs w:val="20"/>
                <w:lang w:val="pl-PL"/>
              </w:rPr>
              <w:t>ZTE (R4-2504358, M): -46</w:t>
            </w:r>
            <w:r>
              <w:rPr>
                <w:rFonts w:ascii="Times New Roman" w:hAnsi="Times New Roman" w:eastAsia="宋体" w:cs="Times New Roman"/>
                <w:sz w:val="20"/>
                <w:szCs w:val="20"/>
                <w:lang w:val="pl-PL"/>
              </w:rPr>
              <w:t xml:space="preserve"> </w:t>
            </w:r>
            <w:r>
              <w:rPr>
                <w:rFonts w:ascii="Times New Roman" w:hAnsi="Times New Roman" w:cs="Times New Roman"/>
                <w:sz w:val="20"/>
                <w:szCs w:val="20"/>
                <w:lang w:val="pl-PL"/>
              </w:rPr>
              <w:t>(</w:t>
            </w:r>
            <w:r>
              <w:rPr>
                <w:rFonts w:ascii="Times New Roman" w:hAnsi="Times New Roman" w:eastAsia="宋体" w:cs="Times New Roman"/>
                <w:sz w:val="20"/>
                <w:szCs w:val="20"/>
                <w:lang w:val="pl-PL"/>
              </w:rPr>
              <w:t>S</w:t>
            </w:r>
            <w:r>
              <w:rPr>
                <w:rFonts w:ascii="Times New Roman" w:hAnsi="Times New Roman" w:cs="Times New Roman"/>
                <w:sz w:val="20"/>
                <w:szCs w:val="20"/>
                <w:lang w:val="pl-PL"/>
              </w:rPr>
              <w:t>A-to-SA)</w:t>
            </w:r>
          </w:p>
          <w:p w14:paraId="07DFE448">
            <w:pPr>
              <w:pStyle w:val="48"/>
              <w:pageBreakBefore w:val="0"/>
              <w:kinsoku/>
              <w:wordWrap/>
              <w:topLinePunct w:val="0"/>
              <w:bidi w:val="0"/>
              <w:snapToGrid/>
              <w:jc w:val="center"/>
              <w:outlineLvl w:val="9"/>
              <w:rPr>
                <w:rFonts w:ascii="Times New Roman" w:hAnsi="Times New Roman" w:cs="Times New Roman"/>
                <w:sz w:val="20"/>
                <w:szCs w:val="20"/>
                <w:lang w:val="pl-PL"/>
              </w:rPr>
            </w:pPr>
            <w:r>
              <w:rPr>
                <w:rFonts w:ascii="Times New Roman" w:hAnsi="Times New Roman" w:cs="Times New Roman"/>
                <w:sz w:val="20"/>
                <w:szCs w:val="20"/>
                <w:lang w:val="pl-PL"/>
              </w:rPr>
              <w:t xml:space="preserve">Huawei (R4-2507445, M): </w:t>
            </w:r>
            <w:r>
              <w:rPr>
                <w:rFonts w:ascii="Times New Roman" w:hAnsi="Times New Roman" w:cs="Times New Roman"/>
                <w:sz w:val="20"/>
                <w:szCs w:val="20"/>
                <w:lang w:val="pl-PL"/>
              </w:rPr>
              <w:noBreakHyphen/>
            </w:r>
            <w:r>
              <w:rPr>
                <w:rFonts w:ascii="Times New Roman" w:hAnsi="Times New Roman" w:cs="Times New Roman"/>
                <w:sz w:val="20"/>
                <w:szCs w:val="20"/>
                <w:lang w:val="pl-PL"/>
              </w:rPr>
              <w:t>50.6 (A-to-SA)</w:t>
            </w:r>
          </w:p>
        </w:tc>
        <w:tc>
          <w:tcPr>
            <w:tcW w:w="0" w:type="auto"/>
          </w:tcPr>
          <w:p w14:paraId="33455514">
            <w:pPr>
              <w:pStyle w:val="48"/>
              <w:pageBreakBefore w:val="0"/>
              <w:kinsoku/>
              <w:wordWrap/>
              <w:topLinePunct w:val="0"/>
              <w:bidi w:val="0"/>
              <w:snapToGrid/>
              <w:jc w:val="center"/>
              <w:outlineLvl w:val="9"/>
              <w:rPr>
                <w:rFonts w:ascii="Times New Roman" w:hAnsi="Times New Roman" w:cs="Times New Roman"/>
                <w:sz w:val="20"/>
                <w:szCs w:val="20"/>
                <w:lang w:val="pl-PL"/>
              </w:rPr>
            </w:pPr>
            <w:r>
              <w:rPr>
                <w:rFonts w:ascii="Times New Roman" w:hAnsi="Times New Roman" w:cs="Times New Roman"/>
                <w:sz w:val="20"/>
                <w:szCs w:val="20"/>
                <w:lang w:val="pl-PL"/>
              </w:rPr>
              <w:t>Nokia (R4-2507633, M): -55 (A-to-SA)</w:t>
            </w:r>
          </w:p>
        </w:tc>
      </w:tr>
      <w:tr w14:paraId="1ED30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gridSpan w:val="5"/>
          </w:tcPr>
          <w:p w14:paraId="270B460B">
            <w:pPr>
              <w:pStyle w:val="134"/>
              <w:pageBreakBefore w:val="0"/>
              <w:numPr>
                <w:ilvl w:val="0"/>
                <w:numId w:val="25"/>
              </w:numPr>
              <w:kinsoku/>
              <w:wordWrap/>
              <w:topLinePunct w:val="0"/>
              <w:bidi w:val="0"/>
              <w:snapToGrid/>
              <w:ind w:firstLineChars="0"/>
              <w:outlineLvl w:val="9"/>
            </w:pPr>
            <w:r>
              <w:t>S: simulations</w:t>
            </w:r>
          </w:p>
          <w:p w14:paraId="768ACD17">
            <w:pPr>
              <w:pStyle w:val="134"/>
              <w:pageBreakBefore w:val="0"/>
              <w:numPr>
                <w:ilvl w:val="0"/>
                <w:numId w:val="25"/>
              </w:numPr>
              <w:kinsoku/>
              <w:wordWrap/>
              <w:topLinePunct w:val="0"/>
              <w:bidi w:val="0"/>
              <w:snapToGrid/>
              <w:ind w:firstLineChars="0"/>
              <w:outlineLvl w:val="9"/>
            </w:pPr>
            <w:r>
              <w:t>M: measurements</w:t>
            </w:r>
          </w:p>
          <w:p w14:paraId="45EAD4EE">
            <w:pPr>
              <w:pStyle w:val="134"/>
              <w:pageBreakBefore w:val="0"/>
              <w:numPr>
                <w:ilvl w:val="0"/>
                <w:numId w:val="25"/>
              </w:numPr>
              <w:kinsoku/>
              <w:wordWrap/>
              <w:topLinePunct w:val="0"/>
              <w:bidi w:val="0"/>
              <w:snapToGrid/>
              <w:ind w:firstLineChars="0"/>
              <w:outlineLvl w:val="9"/>
            </w:pPr>
            <w:r>
              <w:t>A-to-A: array to array coupling</w:t>
            </w:r>
          </w:p>
          <w:p w14:paraId="0D4AA62E">
            <w:pPr>
              <w:pStyle w:val="134"/>
              <w:pageBreakBefore w:val="0"/>
              <w:numPr>
                <w:ilvl w:val="0"/>
                <w:numId w:val="25"/>
              </w:numPr>
              <w:kinsoku/>
              <w:wordWrap/>
              <w:topLinePunct w:val="0"/>
              <w:bidi w:val="0"/>
              <w:snapToGrid/>
              <w:ind w:firstLineChars="0"/>
              <w:outlineLvl w:val="9"/>
            </w:pPr>
            <w:r>
              <w:t>A-to-SA: array to sub-array coupling</w:t>
            </w:r>
          </w:p>
          <w:p w14:paraId="5CF785C0">
            <w:pPr>
              <w:pStyle w:val="134"/>
              <w:pageBreakBefore w:val="0"/>
              <w:numPr>
                <w:ilvl w:val="0"/>
                <w:numId w:val="25"/>
              </w:numPr>
              <w:kinsoku/>
              <w:wordWrap/>
              <w:topLinePunct w:val="0"/>
              <w:bidi w:val="0"/>
              <w:snapToGrid/>
              <w:ind w:firstLineChars="0"/>
              <w:outlineLvl w:val="9"/>
            </w:pPr>
            <w:r>
              <w:rPr>
                <w:rFonts w:hint="eastAsia" w:eastAsia="宋体"/>
                <w:lang w:val="en-US" w:eastAsia="zh-CN"/>
              </w:rPr>
              <w:t>S</w:t>
            </w:r>
            <w:r>
              <w:t>A-to-SA: array to sub-array coupling</w:t>
            </w:r>
          </w:p>
        </w:tc>
      </w:tr>
    </w:tbl>
    <w:p w14:paraId="20E85A0D">
      <w:pPr>
        <w:pageBreakBefore w:val="0"/>
        <w:kinsoku/>
        <w:wordWrap/>
        <w:topLinePunct w:val="0"/>
        <w:bidi w:val="0"/>
        <w:snapToGrid/>
        <w:outlineLvl w:val="9"/>
      </w:pPr>
    </w:p>
    <w:p w14:paraId="0CD36637">
      <w:pPr>
        <w:pStyle w:val="134"/>
        <w:pageBreakBefore w:val="0"/>
        <w:numPr>
          <w:ilvl w:val="0"/>
          <w:numId w:val="24"/>
        </w:numPr>
        <w:kinsoku/>
        <w:wordWrap/>
        <w:topLinePunct w:val="0"/>
        <w:bidi w:val="0"/>
        <w:snapToGrid/>
        <w:spacing w:after="120"/>
        <w:ind w:firstLineChars="0"/>
        <w:outlineLvl w:val="9"/>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Beam steering consideration; intra-band; same BS type:</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803"/>
        <w:gridCol w:w="2898"/>
        <w:gridCol w:w="2594"/>
        <w:gridCol w:w="1835"/>
      </w:tblGrid>
      <w:tr w14:paraId="02C77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0" w:type="auto"/>
          </w:tcPr>
          <w:p w14:paraId="2504F604">
            <w:pPr>
              <w:pStyle w:val="48"/>
              <w:pageBreakBefore w:val="0"/>
              <w:kinsoku/>
              <w:wordWrap/>
              <w:topLinePunct w:val="0"/>
              <w:bidi w:val="0"/>
              <w:snapToGrid/>
              <w:jc w:val="center"/>
              <w:outlineLvl w:val="9"/>
              <w:rPr>
                <w:rFonts w:ascii="Times New Roman" w:hAnsi="Times New Roman" w:cs="Times New Roman"/>
                <w:sz w:val="20"/>
                <w:szCs w:val="20"/>
                <w:highlight w:val="yellow"/>
              </w:rPr>
            </w:pPr>
          </w:p>
        </w:tc>
        <w:tc>
          <w:tcPr>
            <w:tcW w:w="0" w:type="auto"/>
          </w:tcPr>
          <w:p w14:paraId="4A5ECD78">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b/>
                <w:bCs/>
                <w:sz w:val="20"/>
                <w:szCs w:val="20"/>
              </w:rPr>
              <w:t>2.6 GHz</w:t>
            </w:r>
          </w:p>
        </w:tc>
        <w:tc>
          <w:tcPr>
            <w:tcW w:w="0" w:type="auto"/>
          </w:tcPr>
          <w:p w14:paraId="31FD6284">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b/>
                <w:bCs/>
                <w:sz w:val="20"/>
                <w:szCs w:val="20"/>
              </w:rPr>
              <w:t>3.5 GHz</w:t>
            </w:r>
          </w:p>
        </w:tc>
        <w:tc>
          <w:tcPr>
            <w:tcW w:w="0" w:type="auto"/>
          </w:tcPr>
          <w:p w14:paraId="60B92756">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b/>
                <w:bCs/>
                <w:sz w:val="20"/>
                <w:szCs w:val="20"/>
              </w:rPr>
              <w:t>4.9 GHz</w:t>
            </w:r>
          </w:p>
        </w:tc>
        <w:tc>
          <w:tcPr>
            <w:tcW w:w="0" w:type="auto"/>
          </w:tcPr>
          <w:p w14:paraId="3A26EFB9">
            <w:pPr>
              <w:pStyle w:val="48"/>
              <w:pageBreakBefore w:val="0"/>
              <w:kinsoku/>
              <w:wordWrap/>
              <w:topLinePunct w:val="0"/>
              <w:bidi w:val="0"/>
              <w:snapToGrid/>
              <w:jc w:val="center"/>
              <w:outlineLvl w:val="9"/>
              <w:rPr>
                <w:rFonts w:ascii="Times New Roman" w:hAnsi="Times New Roman" w:cs="Times New Roman"/>
                <w:b/>
                <w:bCs/>
                <w:sz w:val="20"/>
                <w:szCs w:val="20"/>
              </w:rPr>
            </w:pPr>
            <w:r>
              <w:rPr>
                <w:rFonts w:ascii="Times New Roman" w:hAnsi="Times New Roman" w:cs="Times New Roman"/>
                <w:b/>
                <w:bCs/>
                <w:sz w:val="20"/>
                <w:szCs w:val="20"/>
              </w:rPr>
              <w:t>7 GHz</w:t>
            </w:r>
          </w:p>
        </w:tc>
      </w:tr>
      <w:tr w14:paraId="6502C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tcPr>
          <w:p w14:paraId="38717736">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Isolation in vertical domain (dB)</w:t>
            </w:r>
          </w:p>
        </w:tc>
        <w:tc>
          <w:tcPr>
            <w:tcW w:w="0" w:type="auto"/>
          </w:tcPr>
          <w:p w14:paraId="73F720B1">
            <w:pPr>
              <w:pStyle w:val="48"/>
              <w:pageBreakBefore w:val="0"/>
              <w:kinsoku/>
              <w:wordWrap/>
              <w:topLinePunct w:val="0"/>
              <w:bidi w:val="0"/>
              <w:snapToGrid/>
              <w:jc w:val="center"/>
              <w:outlineLvl w:val="9"/>
              <w:rPr>
                <w:rFonts w:ascii="Times New Roman" w:hAnsi="Times New Roman" w:cs="Times New Roman"/>
                <w:sz w:val="20"/>
                <w:szCs w:val="20"/>
                <w:highlight w:val="yellow"/>
              </w:rPr>
            </w:pPr>
          </w:p>
        </w:tc>
        <w:tc>
          <w:tcPr>
            <w:tcW w:w="0" w:type="auto"/>
          </w:tcPr>
          <w:p w14:paraId="6AAE217B">
            <w:pPr>
              <w:pStyle w:val="48"/>
              <w:pageBreakBefore w:val="0"/>
              <w:kinsoku/>
              <w:wordWrap/>
              <w:topLinePunct w:val="0"/>
              <w:bidi w:val="0"/>
              <w:snapToGrid/>
              <w:jc w:val="center"/>
              <w:outlineLvl w:val="9"/>
              <w:rPr>
                <w:rFonts w:ascii="Times New Roman" w:hAnsi="Times New Roman" w:cs="Times New Roman"/>
                <w:sz w:val="20"/>
                <w:szCs w:val="20"/>
                <w:highlight w:val="yellow"/>
              </w:rPr>
            </w:pPr>
          </w:p>
        </w:tc>
        <w:tc>
          <w:tcPr>
            <w:tcW w:w="0" w:type="auto"/>
          </w:tcPr>
          <w:p w14:paraId="35475D33">
            <w:pPr>
              <w:pStyle w:val="48"/>
              <w:pageBreakBefore w:val="0"/>
              <w:kinsoku/>
              <w:wordWrap/>
              <w:topLinePunct w:val="0"/>
              <w:bidi w:val="0"/>
              <w:snapToGrid/>
              <w:jc w:val="center"/>
              <w:outlineLvl w:val="9"/>
              <w:rPr>
                <w:rFonts w:ascii="Times New Roman" w:hAnsi="Times New Roman" w:cs="Times New Roman"/>
                <w:sz w:val="20"/>
                <w:szCs w:val="20"/>
                <w:highlight w:val="yellow"/>
              </w:rPr>
            </w:pPr>
          </w:p>
        </w:tc>
        <w:tc>
          <w:tcPr>
            <w:tcW w:w="0" w:type="auto"/>
          </w:tcPr>
          <w:p w14:paraId="0DCF4E7D">
            <w:pPr>
              <w:pStyle w:val="48"/>
              <w:pageBreakBefore w:val="0"/>
              <w:kinsoku/>
              <w:wordWrap/>
              <w:topLinePunct w:val="0"/>
              <w:bidi w:val="0"/>
              <w:snapToGrid/>
              <w:jc w:val="center"/>
              <w:outlineLvl w:val="9"/>
              <w:rPr>
                <w:rFonts w:ascii="Times New Roman" w:hAnsi="Times New Roman" w:cs="Times New Roman"/>
                <w:sz w:val="20"/>
                <w:szCs w:val="20"/>
                <w:highlight w:val="yellow"/>
              </w:rPr>
            </w:pPr>
          </w:p>
        </w:tc>
      </w:tr>
      <w:tr w14:paraId="60108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tcPr>
          <w:p w14:paraId="3687474B">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Isolation in horizontal domain (dB)</w:t>
            </w:r>
          </w:p>
        </w:tc>
        <w:tc>
          <w:tcPr>
            <w:tcW w:w="0" w:type="auto"/>
          </w:tcPr>
          <w:p w14:paraId="7EC6D3B2">
            <w:pPr>
              <w:pStyle w:val="48"/>
              <w:pageBreakBefore w:val="0"/>
              <w:kinsoku/>
              <w:wordWrap/>
              <w:topLinePunct w:val="0"/>
              <w:bidi w:val="0"/>
              <w:snapToGrid/>
              <w:jc w:val="center"/>
              <w:outlineLvl w:val="9"/>
              <w:rPr>
                <w:rFonts w:ascii="Times New Roman" w:hAnsi="Times New Roman" w:cs="Times New Roman"/>
                <w:sz w:val="20"/>
                <w:szCs w:val="20"/>
                <w:highlight w:val="yellow"/>
              </w:rPr>
            </w:pPr>
          </w:p>
        </w:tc>
        <w:tc>
          <w:tcPr>
            <w:tcW w:w="0" w:type="auto"/>
          </w:tcPr>
          <w:p w14:paraId="2CB4507F">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Ericsson (R4-2506307, S): A-to-SA: -55±15 dB</w:t>
            </w:r>
          </w:p>
        </w:tc>
        <w:tc>
          <w:tcPr>
            <w:tcW w:w="0" w:type="auto"/>
          </w:tcPr>
          <w:p w14:paraId="1C80E34B">
            <w:pPr>
              <w:pStyle w:val="48"/>
              <w:pageBreakBefore w:val="0"/>
              <w:kinsoku/>
              <w:wordWrap/>
              <w:topLinePunct w:val="0"/>
              <w:bidi w:val="0"/>
              <w:snapToGrid/>
              <w:jc w:val="center"/>
              <w:outlineLvl w:val="9"/>
              <w:rPr>
                <w:rFonts w:ascii="Times New Roman" w:hAnsi="Times New Roman" w:cs="Times New Roman"/>
                <w:sz w:val="20"/>
                <w:szCs w:val="20"/>
                <w:lang w:val="pl-PL"/>
              </w:rPr>
            </w:pPr>
            <w:r>
              <w:rPr>
                <w:rFonts w:ascii="Times New Roman" w:hAnsi="Times New Roman" w:cs="Times New Roman"/>
                <w:sz w:val="20"/>
                <w:szCs w:val="20"/>
                <w:lang w:val="pl-PL"/>
              </w:rPr>
              <w:t>ZTE (R4-2507511, M): -69 dB (A-to-SA)</w:t>
            </w:r>
          </w:p>
        </w:tc>
        <w:tc>
          <w:tcPr>
            <w:tcW w:w="0" w:type="auto"/>
          </w:tcPr>
          <w:p w14:paraId="179C6ED8">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 xml:space="preserve">Ericsson (R4-2506307, S): </w:t>
            </w:r>
          </w:p>
          <w:p w14:paraId="67550997">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 xml:space="preserve">A-to-A: -77±15; </w:t>
            </w:r>
          </w:p>
          <w:p w14:paraId="445DDDBE">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A-to-SA: -70±15</w:t>
            </w:r>
          </w:p>
        </w:tc>
      </w:tr>
    </w:tbl>
    <w:p w14:paraId="761057C9">
      <w:pPr>
        <w:pageBreakBefore w:val="0"/>
        <w:kinsoku/>
        <w:wordWrap/>
        <w:topLinePunct w:val="0"/>
        <w:bidi w:val="0"/>
        <w:snapToGrid/>
        <w:spacing w:after="120"/>
        <w:outlineLvl w:val="9"/>
        <w:rPr>
          <w:color w:val="000000" w:themeColor="text1"/>
          <w:lang w:eastAsia="zh-CN"/>
          <w14:textFill>
            <w14:solidFill>
              <w14:schemeClr w14:val="tx1"/>
            </w14:solidFill>
          </w14:textFill>
        </w:rPr>
      </w:pPr>
    </w:p>
    <w:p w14:paraId="6C04AB62">
      <w:pPr>
        <w:pStyle w:val="134"/>
        <w:pageBreakBefore w:val="0"/>
        <w:numPr>
          <w:ilvl w:val="0"/>
          <w:numId w:val="24"/>
        </w:numPr>
        <w:kinsoku/>
        <w:wordWrap/>
        <w:topLinePunct w:val="0"/>
        <w:bidi w:val="0"/>
        <w:snapToGrid/>
        <w:spacing w:after="120"/>
        <w:ind w:firstLineChars="0"/>
        <w:outlineLvl w:val="9"/>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Beam steering consideration; inter-band:</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9"/>
        <w:gridCol w:w="2355"/>
      </w:tblGrid>
      <w:tr w14:paraId="2DFF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7" w:hRule="atLeast"/>
          <w:jc w:val="center"/>
        </w:trPr>
        <w:tc>
          <w:tcPr>
            <w:tcW w:w="0" w:type="auto"/>
          </w:tcPr>
          <w:p w14:paraId="0A2FC810">
            <w:pPr>
              <w:pStyle w:val="48"/>
              <w:pageBreakBefore w:val="0"/>
              <w:kinsoku/>
              <w:wordWrap/>
              <w:topLinePunct w:val="0"/>
              <w:bidi w:val="0"/>
              <w:snapToGrid/>
              <w:jc w:val="center"/>
              <w:outlineLvl w:val="9"/>
              <w:rPr>
                <w:rFonts w:ascii="Times New Roman" w:hAnsi="Times New Roman" w:cs="Times New Roman"/>
                <w:sz w:val="20"/>
                <w:szCs w:val="20"/>
                <w:highlight w:val="yellow"/>
              </w:rPr>
            </w:pPr>
          </w:p>
        </w:tc>
        <w:tc>
          <w:tcPr>
            <w:tcW w:w="0" w:type="auto"/>
          </w:tcPr>
          <w:p w14:paraId="661AD238">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b/>
                <w:bCs/>
                <w:sz w:val="20"/>
                <w:szCs w:val="20"/>
              </w:rPr>
              <w:t>3.5 GHz ÷ 7 GHz</w:t>
            </w:r>
          </w:p>
        </w:tc>
      </w:tr>
      <w:tr w14:paraId="17488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0" w:type="auto"/>
          </w:tcPr>
          <w:p w14:paraId="1286D459">
            <w:pPr>
              <w:pStyle w:val="48"/>
              <w:pageBreakBefore w:val="0"/>
              <w:kinsoku/>
              <w:wordWrap/>
              <w:topLinePunct w:val="0"/>
              <w:bidi w:val="0"/>
              <w:snapToGrid/>
              <w:jc w:val="center"/>
              <w:outlineLvl w:val="9"/>
              <w:rPr>
                <w:rFonts w:ascii="Times New Roman" w:hAnsi="Times New Roman" w:cs="Times New Roman"/>
                <w:sz w:val="20"/>
                <w:szCs w:val="20"/>
                <w:highlight w:val="yellow"/>
              </w:rPr>
            </w:pPr>
            <w:r>
              <w:rPr>
                <w:rFonts w:ascii="Times New Roman" w:hAnsi="Times New Roman" w:cs="Times New Roman"/>
                <w:sz w:val="20"/>
                <w:szCs w:val="20"/>
              </w:rPr>
              <w:t>Isolation in vertical domain (dB)</w:t>
            </w:r>
          </w:p>
        </w:tc>
        <w:tc>
          <w:tcPr>
            <w:tcW w:w="0" w:type="auto"/>
          </w:tcPr>
          <w:p w14:paraId="598D281B">
            <w:pPr>
              <w:pStyle w:val="48"/>
              <w:pageBreakBefore w:val="0"/>
              <w:kinsoku/>
              <w:wordWrap/>
              <w:topLinePunct w:val="0"/>
              <w:bidi w:val="0"/>
              <w:snapToGrid/>
              <w:jc w:val="center"/>
              <w:outlineLvl w:val="9"/>
              <w:rPr>
                <w:rFonts w:ascii="Times New Roman" w:hAnsi="Times New Roman" w:cs="Times New Roman"/>
                <w:b/>
                <w:bCs/>
                <w:sz w:val="20"/>
                <w:szCs w:val="20"/>
              </w:rPr>
            </w:pPr>
          </w:p>
        </w:tc>
      </w:tr>
      <w:tr w14:paraId="6D428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tcPr>
          <w:p w14:paraId="43E96D44">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Isolation in horizontal domain (dB)</w:t>
            </w:r>
          </w:p>
        </w:tc>
        <w:tc>
          <w:tcPr>
            <w:tcW w:w="0" w:type="auto"/>
          </w:tcPr>
          <w:p w14:paraId="6D119FDE">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 xml:space="preserve">Ericsson (R4-2506307, S): </w:t>
            </w:r>
          </w:p>
          <w:p w14:paraId="582F0381">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A-to-A: -54±10 dB</w:t>
            </w:r>
          </w:p>
          <w:p w14:paraId="1EA64F72">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A-to-SA: -57±10 dB</w:t>
            </w:r>
          </w:p>
        </w:tc>
      </w:tr>
    </w:tbl>
    <w:p w14:paraId="0ABA2432">
      <w:pPr>
        <w:pageBreakBefore w:val="0"/>
        <w:kinsoku/>
        <w:wordWrap/>
        <w:topLinePunct w:val="0"/>
        <w:bidi w:val="0"/>
        <w:snapToGrid/>
        <w:outlineLvl w:val="9"/>
        <w:rPr>
          <w:highlight w:val="yellow"/>
          <w:lang w:eastAsia="zh-CN"/>
        </w:rPr>
      </w:pPr>
    </w:p>
    <w:p w14:paraId="5E6160F8">
      <w:pPr>
        <w:pageBreakBefore w:val="0"/>
        <w:kinsoku/>
        <w:wordWrap/>
        <w:topLinePunct w:val="0"/>
        <w:bidi w:val="0"/>
        <w:snapToGrid/>
        <w:outlineLvl w:val="9"/>
        <w:rPr>
          <w:lang w:eastAsia="zh-CN"/>
        </w:rPr>
      </w:pPr>
      <w:r>
        <w:rPr>
          <w:lang w:eastAsia="zh-CN"/>
        </w:rPr>
        <w:t>Based on date captured in bullets above, the following BS-BS isolation data summary is extracted:</w:t>
      </w:r>
    </w:p>
    <w:p w14:paraId="09F3990A">
      <w:pPr>
        <w:pageBreakBefore w:val="0"/>
        <w:kinsoku/>
        <w:wordWrap/>
        <w:topLinePunct w:val="0"/>
        <w:bidi w:val="0"/>
        <w:snapToGrid/>
        <w:spacing w:after="120"/>
        <w:jc w:val="center"/>
        <w:outlineLvl w:val="9"/>
        <w:rPr>
          <w:b/>
          <w:bCs/>
          <w:color w:val="000000" w:themeColor="text1"/>
          <w:lang w:eastAsia="zh-CN"/>
          <w14:textFill>
            <w14:solidFill>
              <w14:schemeClr w14:val="tx1"/>
            </w14:solidFill>
          </w14:textFill>
        </w:rPr>
      </w:pPr>
      <w:r>
        <w:rPr>
          <w:b/>
          <w:bCs/>
          <w:color w:val="000000" w:themeColor="text1"/>
          <w14:textFill>
            <w14:solidFill>
              <w14:schemeClr w14:val="tx1"/>
            </w14:solidFill>
          </w14:textFill>
        </w:rPr>
        <w:t>Intra-band BS-BS isolation results</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9"/>
        <w:gridCol w:w="916"/>
        <w:gridCol w:w="916"/>
        <w:gridCol w:w="916"/>
        <w:gridCol w:w="766"/>
      </w:tblGrid>
      <w:tr w14:paraId="6E07E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0" w:type="auto"/>
          </w:tcPr>
          <w:p w14:paraId="6142C915">
            <w:pPr>
              <w:pStyle w:val="48"/>
              <w:pageBreakBefore w:val="0"/>
              <w:kinsoku/>
              <w:wordWrap/>
              <w:topLinePunct w:val="0"/>
              <w:bidi w:val="0"/>
              <w:snapToGrid/>
              <w:jc w:val="center"/>
              <w:outlineLvl w:val="9"/>
              <w:rPr>
                <w:rFonts w:ascii="Times New Roman" w:hAnsi="Times New Roman" w:cs="Times New Roman"/>
                <w:sz w:val="20"/>
                <w:szCs w:val="20"/>
                <w:lang w:val="en-GB"/>
              </w:rPr>
            </w:pPr>
          </w:p>
        </w:tc>
        <w:tc>
          <w:tcPr>
            <w:tcW w:w="0" w:type="auto"/>
          </w:tcPr>
          <w:p w14:paraId="5A290A29">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b/>
                <w:bCs/>
                <w:sz w:val="20"/>
                <w:szCs w:val="20"/>
              </w:rPr>
              <w:t>2.6 GHz</w:t>
            </w:r>
          </w:p>
        </w:tc>
        <w:tc>
          <w:tcPr>
            <w:tcW w:w="0" w:type="auto"/>
          </w:tcPr>
          <w:p w14:paraId="7377B76F">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b/>
                <w:bCs/>
                <w:sz w:val="20"/>
                <w:szCs w:val="20"/>
              </w:rPr>
              <w:t>3.5 GHz</w:t>
            </w:r>
          </w:p>
        </w:tc>
        <w:tc>
          <w:tcPr>
            <w:tcW w:w="0" w:type="auto"/>
          </w:tcPr>
          <w:p w14:paraId="52C516C8">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b/>
                <w:bCs/>
                <w:sz w:val="20"/>
                <w:szCs w:val="20"/>
              </w:rPr>
              <w:t>4.9 GHz</w:t>
            </w:r>
          </w:p>
        </w:tc>
        <w:tc>
          <w:tcPr>
            <w:tcW w:w="0" w:type="auto"/>
          </w:tcPr>
          <w:p w14:paraId="3BB44231">
            <w:pPr>
              <w:pStyle w:val="48"/>
              <w:pageBreakBefore w:val="0"/>
              <w:kinsoku/>
              <w:wordWrap/>
              <w:topLinePunct w:val="0"/>
              <w:bidi w:val="0"/>
              <w:snapToGrid/>
              <w:jc w:val="center"/>
              <w:outlineLvl w:val="9"/>
              <w:rPr>
                <w:rFonts w:ascii="Times New Roman" w:hAnsi="Times New Roman" w:cs="Times New Roman"/>
                <w:b/>
                <w:bCs/>
                <w:sz w:val="20"/>
                <w:szCs w:val="20"/>
              </w:rPr>
            </w:pPr>
            <w:r>
              <w:rPr>
                <w:rFonts w:ascii="Times New Roman" w:hAnsi="Times New Roman" w:cs="Times New Roman"/>
                <w:b/>
                <w:bCs/>
                <w:sz w:val="20"/>
                <w:szCs w:val="20"/>
              </w:rPr>
              <w:t>7 GHz</w:t>
            </w:r>
          </w:p>
        </w:tc>
      </w:tr>
      <w:tr w14:paraId="574E4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tcPr>
          <w:p w14:paraId="3F600C95">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Isolation in vertical domain (dB)</w:t>
            </w:r>
          </w:p>
        </w:tc>
        <w:tc>
          <w:tcPr>
            <w:tcW w:w="0" w:type="auto"/>
          </w:tcPr>
          <w:p w14:paraId="62CF7EE0">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-54</w:t>
            </w:r>
          </w:p>
        </w:tc>
        <w:tc>
          <w:tcPr>
            <w:tcW w:w="0" w:type="auto"/>
          </w:tcPr>
          <w:p w14:paraId="4D4353E8">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-52</w:t>
            </w:r>
          </w:p>
        </w:tc>
        <w:tc>
          <w:tcPr>
            <w:tcW w:w="0" w:type="auto"/>
          </w:tcPr>
          <w:p w14:paraId="2AF6C0C7">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-56</w:t>
            </w:r>
          </w:p>
        </w:tc>
        <w:tc>
          <w:tcPr>
            <w:tcW w:w="0" w:type="auto"/>
          </w:tcPr>
          <w:p w14:paraId="25DA6F0B">
            <w:pPr>
              <w:pStyle w:val="48"/>
              <w:pageBreakBefore w:val="0"/>
              <w:kinsoku/>
              <w:wordWrap/>
              <w:topLinePunct w:val="0"/>
              <w:bidi w:val="0"/>
              <w:snapToGrid/>
              <w:jc w:val="center"/>
              <w:outlineLvl w:val="9"/>
              <w:rPr>
                <w:rFonts w:ascii="Times New Roman" w:hAnsi="Times New Roman" w:cs="Times New Roman"/>
                <w:sz w:val="20"/>
                <w:szCs w:val="20"/>
              </w:rPr>
            </w:pPr>
          </w:p>
        </w:tc>
      </w:tr>
      <w:tr w14:paraId="7509C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tcPr>
          <w:p w14:paraId="724A378D">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Isolation in horizontal domain (dB)</w:t>
            </w:r>
          </w:p>
        </w:tc>
        <w:tc>
          <w:tcPr>
            <w:tcW w:w="0" w:type="auto"/>
          </w:tcPr>
          <w:p w14:paraId="24422172">
            <w:pPr>
              <w:pStyle w:val="48"/>
              <w:pageBreakBefore w:val="0"/>
              <w:kinsoku/>
              <w:wordWrap/>
              <w:topLinePunct w:val="0"/>
              <w:bidi w:val="0"/>
              <w:snapToGrid/>
              <w:jc w:val="center"/>
              <w:outlineLvl w:val="9"/>
              <w:rPr>
                <w:rFonts w:ascii="Times New Roman" w:hAnsi="Times New Roman" w:cs="Times New Roman"/>
                <w:sz w:val="20"/>
                <w:szCs w:val="20"/>
              </w:rPr>
            </w:pPr>
            <w:r>
              <w:rPr>
                <w:rFonts w:ascii="Times New Roman" w:hAnsi="Times New Roman" w:cs="Times New Roman"/>
                <w:sz w:val="20"/>
                <w:szCs w:val="20"/>
              </w:rPr>
              <w:t>-31</w:t>
            </w:r>
          </w:p>
        </w:tc>
        <w:tc>
          <w:tcPr>
            <w:tcW w:w="0" w:type="auto"/>
          </w:tcPr>
          <w:p w14:paraId="1809EAC2">
            <w:pPr>
              <w:pStyle w:val="48"/>
              <w:pageBreakBefore w:val="0"/>
              <w:kinsoku/>
              <w:wordWrap/>
              <w:topLinePunct w:val="0"/>
              <w:bidi w:val="0"/>
              <w:snapToGrid/>
              <w:jc w:val="center"/>
              <w:outlineLvl w:val="9"/>
              <w:rPr>
                <w:rFonts w:ascii="Times New Roman" w:hAnsi="Times New Roman" w:cs="Times New Roman"/>
                <w:sz w:val="20"/>
                <w:szCs w:val="20"/>
                <w:lang w:val="pl-PL"/>
              </w:rPr>
            </w:pPr>
            <w:r>
              <w:rPr>
                <w:rFonts w:ascii="Times New Roman" w:hAnsi="Times New Roman" w:cs="Times New Roman"/>
                <w:sz w:val="20"/>
                <w:szCs w:val="20"/>
                <w:lang w:val="pl-PL"/>
              </w:rPr>
              <w:t>-34</w:t>
            </w:r>
          </w:p>
        </w:tc>
        <w:tc>
          <w:tcPr>
            <w:tcW w:w="0" w:type="auto"/>
          </w:tcPr>
          <w:p w14:paraId="4F7FCDDF">
            <w:pPr>
              <w:pStyle w:val="48"/>
              <w:pageBreakBefore w:val="0"/>
              <w:kinsoku/>
              <w:wordWrap/>
              <w:topLinePunct w:val="0"/>
              <w:bidi w:val="0"/>
              <w:snapToGrid/>
              <w:jc w:val="center"/>
              <w:outlineLvl w:val="9"/>
              <w:rPr>
                <w:rFonts w:ascii="Times New Roman" w:hAnsi="Times New Roman" w:cs="Times New Roman"/>
                <w:sz w:val="20"/>
                <w:szCs w:val="20"/>
                <w:lang w:val="pl-PL"/>
              </w:rPr>
            </w:pPr>
            <w:r>
              <w:rPr>
                <w:rFonts w:ascii="Times New Roman" w:hAnsi="Times New Roman" w:cs="Times New Roman"/>
                <w:sz w:val="20"/>
                <w:szCs w:val="20"/>
                <w:lang w:val="pl-PL"/>
              </w:rPr>
              <w:t>-46</w:t>
            </w:r>
          </w:p>
        </w:tc>
        <w:tc>
          <w:tcPr>
            <w:tcW w:w="0" w:type="auto"/>
          </w:tcPr>
          <w:p w14:paraId="6021970E">
            <w:pPr>
              <w:pStyle w:val="48"/>
              <w:pageBreakBefore w:val="0"/>
              <w:kinsoku/>
              <w:wordWrap/>
              <w:topLinePunct w:val="0"/>
              <w:bidi w:val="0"/>
              <w:snapToGrid/>
              <w:jc w:val="center"/>
              <w:outlineLvl w:val="9"/>
              <w:rPr>
                <w:rFonts w:ascii="Times New Roman" w:hAnsi="Times New Roman" w:cs="Times New Roman"/>
                <w:sz w:val="20"/>
                <w:szCs w:val="20"/>
                <w:lang w:val="pl-PL"/>
              </w:rPr>
            </w:pPr>
            <w:r>
              <w:rPr>
                <w:rFonts w:ascii="Times New Roman" w:hAnsi="Times New Roman" w:cs="Times New Roman"/>
                <w:sz w:val="20"/>
                <w:szCs w:val="20"/>
                <w:lang w:val="pl-PL"/>
              </w:rPr>
              <w:t>-55</w:t>
            </w:r>
          </w:p>
        </w:tc>
      </w:tr>
    </w:tbl>
    <w:p w14:paraId="128E5CD1">
      <w:pPr>
        <w:pageBreakBefore w:val="0"/>
        <w:kinsoku/>
        <w:wordWrap/>
        <w:topLinePunct w:val="0"/>
        <w:bidi w:val="0"/>
        <w:snapToGrid/>
        <w:outlineLvl w:val="9"/>
        <w:rPr>
          <w:sz w:val="22"/>
          <w:szCs w:val="22"/>
          <w:highlight w:val="cyan"/>
        </w:rPr>
      </w:pPr>
    </w:p>
    <w:p w14:paraId="55D60C60">
      <w:pPr>
        <w:pageBreakBefore w:val="0"/>
        <w:kinsoku/>
        <w:wordWrap/>
        <w:topLinePunct w:val="0"/>
        <w:bidi w:val="0"/>
        <w:snapToGrid/>
        <w:outlineLvl w:val="9"/>
        <w:rPr>
          <w:lang w:eastAsia="zh-CN"/>
        </w:rPr>
      </w:pPr>
      <w:r>
        <w:rPr>
          <w:lang w:eastAsia="zh-CN"/>
        </w:rPr>
        <w:t xml:space="preserve">As per previous agreement in R4-2504701 (RAN4#114bis), </w:t>
      </w:r>
      <w:r>
        <w:t>further BS-to-BS isolation data provision during RAN4#116 (August 2025) is not precluded</w:t>
      </w:r>
      <w:r>
        <w:rPr>
          <w:lang w:eastAsia="zh-CN"/>
        </w:rPr>
        <w:t>.</w:t>
      </w:r>
    </w:p>
    <w:p w14:paraId="3BC25797">
      <w:pPr>
        <w:pageBreakBefore w:val="0"/>
        <w:kinsoku/>
        <w:wordWrap/>
        <w:topLinePunct w:val="0"/>
        <w:bidi w:val="0"/>
        <w:snapToGrid/>
        <w:outlineLvl w:val="9"/>
        <w:rPr>
          <w:lang w:eastAsia="zh-CN"/>
        </w:rPr>
      </w:pPr>
    </w:p>
    <w:p w14:paraId="765601A3">
      <w:pPr>
        <w:pageBreakBefore w:val="0"/>
        <w:kinsoku/>
        <w:wordWrap/>
        <w:topLinePunct w:val="0"/>
        <w:bidi w:val="0"/>
        <w:snapToGrid/>
        <w:outlineLvl w:val="9"/>
        <w:rPr>
          <w:lang w:eastAsia="zh-CN"/>
        </w:rPr>
      </w:pPr>
      <w:r>
        <w:t>Sub-topic 1-2: Impacted RF requirements</w:t>
      </w:r>
    </w:p>
    <w:p w14:paraId="47C98F52">
      <w:pPr>
        <w:pageBreakBefore w:val="0"/>
        <w:kinsoku/>
        <w:wordWrap/>
        <w:overflowPunct/>
        <w:topLinePunct w:val="0"/>
        <w:autoSpaceDE/>
        <w:autoSpaceDN/>
        <w:bidi w:val="0"/>
        <w:adjustRightInd/>
        <w:snapToGrid/>
        <w:spacing w:after="120"/>
        <w:textAlignment w:val="auto"/>
        <w:outlineLvl w:val="9"/>
        <w:rPr>
          <w:lang w:eastAsia="zh-CN"/>
        </w:rPr>
      </w:pPr>
      <w:r>
        <w:rPr>
          <w:rFonts w:hint="eastAsia"/>
          <w:b/>
          <w:lang w:eastAsia="zh-CN"/>
        </w:rPr>
        <w:t>Agreement</w:t>
      </w:r>
      <w:r>
        <w:rPr>
          <w:lang w:eastAsia="zh-CN"/>
        </w:rPr>
        <w:t xml:space="preserve">: </w:t>
      </w:r>
    </w:p>
    <w:p w14:paraId="53F8389F">
      <w:pPr>
        <w:pStyle w:val="134"/>
        <w:pageBreakBefore w:val="0"/>
        <w:numPr>
          <w:ilvl w:val="0"/>
          <w:numId w:val="25"/>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cs="Times New Roman"/>
          <w:lang w:eastAsia="zh-CN"/>
        </w:rPr>
      </w:pPr>
      <w:r>
        <w:rPr>
          <w:rFonts w:hint="default" w:ascii="Times New Roman" w:hAnsi="Times New Roman" w:cs="Times New Roman"/>
          <w:lang w:eastAsia="zh-CN"/>
        </w:rPr>
        <w:t xml:space="preserve">Based on the </w:t>
      </w:r>
      <w:r>
        <w:rPr>
          <w:rFonts w:hint="default" w:ascii="Times New Roman" w:hAnsi="Times New Roman" w:cs="Times New Roman"/>
        </w:rPr>
        <w:t>BS-to-BS isolation data, no RF (including core and conformance test) co-location requirements</w:t>
      </w:r>
      <w:r>
        <w:rPr>
          <w:rFonts w:hint="default" w:ascii="Times New Roman" w:hAnsi="Times New Roman" w:cs="Times New Roman"/>
          <w:lang w:eastAsia="zh-CN"/>
        </w:rPr>
        <w:t xml:space="preserve"> impact below 4.9 GHz was agreed.</w:t>
      </w:r>
    </w:p>
    <w:p w14:paraId="67323FC7">
      <w:pPr>
        <w:pStyle w:val="134"/>
        <w:pageBreakBefore w:val="0"/>
        <w:numPr>
          <w:ilvl w:val="0"/>
          <w:numId w:val="25"/>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cs="Times New Roman"/>
          <w:lang w:eastAsia="zh-CN"/>
        </w:rPr>
      </w:pPr>
      <w:r>
        <w:rPr>
          <w:rFonts w:hint="default" w:ascii="Times New Roman" w:hAnsi="Times New Roman" w:cs="Times New Roman"/>
          <w:lang w:eastAsia="zh-CN"/>
        </w:rPr>
        <w:t>OTA TX IMD:</w:t>
      </w:r>
    </w:p>
    <w:p w14:paraId="713E83EE">
      <w:pPr>
        <w:pStyle w:val="134"/>
        <w:pageBreakBefore w:val="0"/>
        <w:numPr>
          <w:ilvl w:val="1"/>
          <w:numId w:val="25"/>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cs="Times New Roman"/>
          <w:lang w:eastAsia="zh-CN"/>
        </w:rPr>
      </w:pPr>
      <w:r>
        <w:rPr>
          <w:rFonts w:hint="default" w:ascii="Times New Roman" w:hAnsi="Times New Roman" w:cs="Times New Roman"/>
          <w:lang w:eastAsia="zh-CN"/>
        </w:rPr>
        <w:t>Impact on the OTA TX IMD requirement is FFS, considering the argument that this is a regulatory requirement.</w:t>
      </w:r>
    </w:p>
    <w:p w14:paraId="40C801F6">
      <w:pPr>
        <w:pStyle w:val="134"/>
        <w:pageBreakBefore w:val="0"/>
        <w:numPr>
          <w:ilvl w:val="1"/>
          <w:numId w:val="25"/>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cs="Times New Roman"/>
          <w:lang w:eastAsia="zh-CN"/>
        </w:rPr>
      </w:pPr>
      <w:r>
        <w:rPr>
          <w:rFonts w:hint="default" w:ascii="Times New Roman" w:hAnsi="Times New Roman" w:cs="Times New Roman"/>
          <w:lang w:eastAsia="zh-CN"/>
        </w:rPr>
        <w:t>Provide further inputs to address the testability issue.</w:t>
      </w:r>
    </w:p>
    <w:p w14:paraId="03B65EAE">
      <w:pPr>
        <w:pStyle w:val="134"/>
        <w:pageBreakBefore w:val="0"/>
        <w:numPr>
          <w:ilvl w:val="1"/>
          <w:numId w:val="25"/>
        </w:numPr>
        <w:kinsoku/>
        <w:wordWrap/>
        <w:overflowPunct/>
        <w:topLinePunct w:val="0"/>
        <w:autoSpaceDE/>
        <w:autoSpaceDN/>
        <w:bidi w:val="0"/>
        <w:adjustRightInd/>
        <w:snapToGrid/>
        <w:spacing w:after="120"/>
        <w:ind w:firstLineChars="0"/>
        <w:textAlignment w:val="auto"/>
        <w:outlineLvl w:val="9"/>
        <w:rPr>
          <w:rFonts w:hint="default" w:ascii="Times New Roman" w:hAnsi="Times New Roman" w:cs="Times New Roman"/>
          <w:lang w:eastAsia="zh-CN"/>
        </w:rPr>
      </w:pPr>
      <w:r>
        <w:rPr>
          <w:rFonts w:hint="default" w:ascii="Times New Roman" w:hAnsi="Times New Roman" w:cs="Times New Roman"/>
          <w:lang w:eastAsia="zh-CN"/>
        </w:rPr>
        <w:t>Further investigate impact of higher than 43dBm BS output power.</w:t>
      </w:r>
    </w:p>
    <w:p w14:paraId="253C2724">
      <w:pPr>
        <w:pageBreakBefore w:val="0"/>
        <w:kinsoku/>
        <w:wordWrap/>
        <w:topLinePunct w:val="0"/>
        <w:bidi w:val="0"/>
        <w:snapToGrid/>
        <w:outlineLvl w:val="9"/>
        <w:rPr>
          <w:rFonts w:hint="default" w:ascii="Times New Roman" w:hAnsi="Times New Roman" w:cs="Times New Roman"/>
          <w:lang w:val="en-US" w:eastAsia="zh-CN"/>
        </w:rPr>
      </w:pPr>
    </w:p>
    <w:p w14:paraId="5FF365D0">
      <w:pPr>
        <w:pageBreakBefore w:val="0"/>
        <w:kinsoku/>
        <w:wordWrap/>
        <w:topLinePunct w:val="0"/>
        <w:bidi w:val="0"/>
        <w:snapToGrid/>
        <w:outlineLvl w:val="9"/>
        <w:rPr>
          <w:rFonts w:hint="default" w:ascii="Times New Roman" w:hAnsi="Times New Roman" w:cs="Times New Roman"/>
          <w:lang w:val="en-US" w:eastAsia="zh-CN"/>
        </w:rPr>
      </w:pPr>
      <w:r>
        <w:rPr>
          <w:rFonts w:hint="eastAsia" w:ascii="Times New Roman" w:hAnsi="Times New Roman" w:cs="Times New Roman"/>
          <w:b/>
          <w:bCs/>
          <w:lang w:val="en-US" w:eastAsia="zh-CN"/>
        </w:rPr>
        <w:t xml:space="preserve">Core part for </w:t>
      </w:r>
      <w:r>
        <w:rPr>
          <w:rFonts w:hint="default" w:ascii="Times New Roman" w:hAnsi="Times New Roman" w:cs="Times New Roman"/>
          <w:b/>
          <w:bCs/>
          <w:lang w:val="en-US" w:eastAsia="zh-CN"/>
        </w:rPr>
        <w:t xml:space="preserve">Tx spurious emissions co-existence limits re-evaluation: </w:t>
      </w:r>
    </w:p>
    <w:p w14:paraId="6F4BAFF5">
      <w:pPr>
        <w:pageBreakBefore w:val="0"/>
        <w:kinsoku/>
        <w:wordWrap/>
        <w:topLinePunct w:val="0"/>
        <w:bidi w:val="0"/>
        <w:snapToGrid/>
        <w:outlineLvl w:val="9"/>
        <w:rPr>
          <w:rFonts w:hint="default" w:ascii="Times New Roman" w:hAnsi="Times New Roman" w:cs="Times New Roman"/>
        </w:rPr>
      </w:pPr>
      <w:r>
        <w:rPr>
          <w:rFonts w:hint="default" w:ascii="Times New Roman" w:hAnsi="Times New Roman" w:cs="Times New Roman"/>
        </w:rPr>
        <w:t>Sub-topic 1-1: Evaluation methodology</w:t>
      </w:r>
    </w:p>
    <w:p w14:paraId="10636C54">
      <w:pPr>
        <w:pageBreakBefore w:val="0"/>
        <w:kinsoku/>
        <w:wordWrap/>
        <w:topLinePunct w:val="0"/>
        <w:bidi w:val="0"/>
        <w:snapToGrid/>
        <w:outlineLvl w:val="9"/>
        <w:rPr>
          <w:rFonts w:hint="default" w:ascii="Times New Roman" w:hAnsi="Times New Roman" w:cs="Times New Roman"/>
          <w:lang w:val="en-US" w:eastAsia="zh-CN"/>
        </w:rPr>
      </w:pPr>
      <w:r>
        <w:rPr>
          <w:rFonts w:hint="default" w:ascii="Times New Roman" w:hAnsi="Times New Roman" w:cs="Times New Roman"/>
          <w:b/>
          <w:lang w:eastAsia="zh-CN"/>
        </w:rPr>
        <w:t>Agreement</w:t>
      </w:r>
      <w:r>
        <w:rPr>
          <w:rFonts w:hint="default" w:ascii="Times New Roman" w:hAnsi="Times New Roman" w:cs="Times New Roman"/>
          <w:lang w:eastAsia="zh-CN"/>
        </w:rPr>
        <w:t xml:space="preserve">: </w:t>
      </w:r>
    </w:p>
    <w:p w14:paraId="7BAF12EC">
      <w:pPr>
        <w:pStyle w:val="134"/>
        <w:pageBreakBefore w:val="0"/>
        <w:numPr>
          <w:ilvl w:val="0"/>
          <w:numId w:val="26"/>
        </w:numPr>
        <w:kinsoku/>
        <w:wordWrap/>
        <w:topLinePunct w:val="0"/>
        <w:bidi w:val="0"/>
        <w:snapToGrid/>
        <w:ind w:firstLineChars="0"/>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Keep both MCL and system level evaluations. </w:t>
      </w:r>
    </w:p>
    <w:p w14:paraId="44851FBC">
      <w:pPr>
        <w:pStyle w:val="134"/>
        <w:pageBreakBefore w:val="0"/>
        <w:numPr>
          <w:ilvl w:val="0"/>
          <w:numId w:val="26"/>
        </w:numPr>
        <w:kinsoku/>
        <w:wordWrap/>
        <w:topLinePunct w:val="0"/>
        <w:bidi w:val="0"/>
        <w:snapToGrid/>
        <w:ind w:firstLineChars="0"/>
        <w:outlineLvl w:val="9"/>
        <w:rPr>
          <w:rFonts w:hint="default" w:ascii="Times New Roman" w:hAnsi="Times New Roman" w:cs="Times New Roman"/>
          <w:lang w:val="en-US" w:eastAsia="zh-CN"/>
        </w:rPr>
      </w:pPr>
      <w:r>
        <w:rPr>
          <w:rFonts w:hint="default" w:ascii="Times New Roman" w:hAnsi="Times New Roman" w:cs="Times New Roman"/>
          <w:lang w:val="en-US" w:eastAsia="zh-CN"/>
        </w:rPr>
        <w:t>Derivation approach of the final conclusions (i.e., Tx spurious emissions co-existence limits, applicable frequency ranges, etc.) is FFS.</w:t>
      </w:r>
    </w:p>
    <w:p w14:paraId="60F6CD54">
      <w:pPr>
        <w:pageBreakBefore w:val="0"/>
        <w:kinsoku/>
        <w:wordWrap/>
        <w:topLinePunct w:val="0"/>
        <w:bidi w:val="0"/>
        <w:snapToGrid/>
        <w:outlineLvl w:val="9"/>
        <w:rPr>
          <w:rFonts w:hint="default" w:ascii="Times New Roman" w:hAnsi="Times New Roman" w:cs="Times New Roman"/>
        </w:rPr>
      </w:pPr>
      <w:r>
        <w:rPr>
          <w:rFonts w:hint="default" w:ascii="Times New Roman" w:hAnsi="Times New Roman" w:cs="Times New Roman"/>
        </w:rPr>
        <w:t>Sub-topic 1-2: Antenna / array gain considerations</w:t>
      </w:r>
    </w:p>
    <w:p w14:paraId="386D7448">
      <w:pPr>
        <w:pageBreakBefore w:val="0"/>
        <w:kinsoku/>
        <w:wordWrap/>
        <w:topLinePunct w:val="0"/>
        <w:bidi w:val="0"/>
        <w:snapToGrid/>
        <w:outlineLvl w:val="9"/>
        <w:rPr>
          <w:rFonts w:hint="default" w:ascii="Times New Roman" w:hAnsi="Times New Roman" w:cs="Times New Roman"/>
          <w:lang w:val="en-US" w:eastAsia="zh-CN"/>
        </w:rPr>
      </w:pPr>
      <w:r>
        <w:rPr>
          <w:rFonts w:hint="default" w:ascii="Times New Roman" w:hAnsi="Times New Roman" w:cs="Times New Roman"/>
          <w:b/>
          <w:lang w:eastAsia="zh-CN"/>
        </w:rPr>
        <w:t>Agreement</w:t>
      </w:r>
      <w:r>
        <w:rPr>
          <w:rFonts w:hint="default" w:ascii="Times New Roman" w:hAnsi="Times New Roman" w:cs="Times New Roman"/>
          <w:lang w:eastAsia="zh-CN"/>
        </w:rPr>
        <w:t>: The out-of-band antenna gain information is to be provided together with the simulation results.</w:t>
      </w:r>
    </w:p>
    <w:p w14:paraId="7F258D30">
      <w:pPr>
        <w:pageBreakBefore w:val="0"/>
        <w:kinsoku/>
        <w:wordWrap/>
        <w:topLinePunct w:val="0"/>
        <w:bidi w:val="0"/>
        <w:snapToGrid/>
        <w:outlineLvl w:val="9"/>
        <w:rPr>
          <w:rFonts w:hint="default" w:ascii="Times New Roman" w:hAnsi="Times New Roman" w:cs="Times New Roman"/>
          <w:lang w:eastAsia="zh-CN"/>
        </w:rPr>
      </w:pPr>
      <w:r>
        <w:rPr>
          <w:rFonts w:hint="default" w:ascii="Times New Roman" w:hAnsi="Times New Roman" w:cs="Times New Roman"/>
        </w:rPr>
        <w:t xml:space="preserve">Sub-topic 1-3: </w:t>
      </w:r>
      <w:r>
        <w:rPr>
          <w:rFonts w:hint="default" w:ascii="Times New Roman" w:hAnsi="Times New Roman" w:cs="Times New Roman"/>
          <w:lang w:eastAsia="zh-CN"/>
        </w:rPr>
        <w:t>Performance metrics</w:t>
      </w:r>
    </w:p>
    <w:p w14:paraId="79EF4EC3">
      <w:pPr>
        <w:pageBreakBefore w:val="0"/>
        <w:kinsoku/>
        <w:wordWrap/>
        <w:overflowPunct/>
        <w:topLinePunct w:val="0"/>
        <w:autoSpaceDE/>
        <w:autoSpaceDN/>
        <w:bidi w:val="0"/>
        <w:adjustRightInd/>
        <w:snapToGrid/>
        <w:spacing w:after="120"/>
        <w:textAlignment w:val="auto"/>
        <w:outlineLvl w:val="9"/>
        <w:rPr>
          <w:rFonts w:hint="default" w:ascii="Times New Roman" w:hAnsi="Times New Roman" w:cs="Times New Roman"/>
          <w:lang w:val="en-US" w:eastAsia="zh-CN"/>
        </w:rPr>
      </w:pPr>
      <w:r>
        <w:rPr>
          <w:rFonts w:hint="default" w:ascii="Times New Roman" w:hAnsi="Times New Roman" w:cs="Times New Roman"/>
          <w:b/>
          <w:lang w:eastAsia="zh-CN"/>
        </w:rPr>
        <w:t>Agreement</w:t>
      </w:r>
      <w:r>
        <w:rPr>
          <w:rFonts w:hint="default" w:ascii="Times New Roman" w:hAnsi="Times New Roman" w:cs="Times New Roman"/>
          <w:lang w:eastAsia="zh-CN"/>
        </w:rPr>
        <w:t xml:space="preserve">: </w:t>
      </w:r>
      <w:r>
        <w:rPr>
          <w:rFonts w:hint="default" w:ascii="Times New Roman" w:hAnsi="Times New Roman" w:cs="Times New Roman"/>
          <w:lang w:val="en-US" w:eastAsia="ja-JP"/>
        </w:rPr>
        <w:t xml:space="preserve">Use </w:t>
      </w:r>
      <w:r>
        <w:rPr>
          <w:rFonts w:hint="default" w:ascii="Times New Roman" w:hAnsi="Times New Roman" w:cs="Times New Roman"/>
          <w:lang w:eastAsia="ja-JP"/>
        </w:rPr>
        <w:t>99</w:t>
      </w:r>
      <w:r>
        <w:rPr>
          <w:rFonts w:hint="default" w:ascii="Times New Roman" w:hAnsi="Times New Roman" w:cs="Times New Roman"/>
          <w:vertAlign w:val="superscript"/>
          <w:lang w:eastAsia="ja-JP"/>
        </w:rPr>
        <w:t>th</w:t>
      </w:r>
      <w:r>
        <w:rPr>
          <w:rFonts w:hint="default" w:ascii="Times New Roman" w:hAnsi="Times New Roman" w:cs="Times New Roman"/>
          <w:lang w:eastAsia="ja-JP"/>
        </w:rPr>
        <w:t xml:space="preserve"> percentile of the coupling loss CDF as a starting point.</w:t>
      </w:r>
    </w:p>
    <w:p w14:paraId="79423CE6">
      <w:pPr>
        <w:pageBreakBefore w:val="0"/>
        <w:kinsoku/>
        <w:wordWrap/>
        <w:topLinePunct w:val="0"/>
        <w:bidi w:val="0"/>
        <w:snapToGrid/>
        <w:outlineLvl w:val="9"/>
        <w:rPr>
          <w:rFonts w:hint="default" w:ascii="Times New Roman" w:hAnsi="Times New Roman" w:cs="Times New Roman"/>
          <w:lang w:eastAsia="zh-CN"/>
        </w:rPr>
      </w:pPr>
      <w:r>
        <w:rPr>
          <w:rFonts w:hint="default" w:ascii="Times New Roman" w:hAnsi="Times New Roman" w:cs="Times New Roman"/>
        </w:rPr>
        <w:t xml:space="preserve">Sub-topic 1-4: </w:t>
      </w:r>
      <w:r>
        <w:rPr>
          <w:rFonts w:hint="default" w:ascii="Times New Roman" w:hAnsi="Times New Roman" w:cs="Times New Roman"/>
          <w:lang w:eastAsia="zh-CN"/>
        </w:rPr>
        <w:t>Timeline</w:t>
      </w:r>
    </w:p>
    <w:p w14:paraId="3BEB9231">
      <w:pPr>
        <w:pageBreakBefore w:val="0"/>
        <w:kinsoku/>
        <w:wordWrap/>
        <w:overflowPunct/>
        <w:topLinePunct w:val="0"/>
        <w:autoSpaceDE/>
        <w:autoSpaceDN/>
        <w:bidi w:val="0"/>
        <w:adjustRightInd/>
        <w:snapToGrid/>
        <w:spacing w:after="120"/>
        <w:textAlignment w:val="auto"/>
        <w:outlineLvl w:val="9"/>
        <w:rPr>
          <w:rFonts w:hint="default" w:ascii="Times New Roman" w:hAnsi="Times New Roman" w:cs="Times New Roman"/>
          <w:lang w:val="en-US"/>
        </w:rPr>
      </w:pPr>
      <w:r>
        <w:rPr>
          <w:rFonts w:hint="default" w:ascii="Times New Roman" w:hAnsi="Times New Roman" w:cs="Times New Roman"/>
          <w:b/>
          <w:lang w:eastAsia="zh-CN"/>
        </w:rPr>
        <w:t>Agreement</w:t>
      </w:r>
      <w:r>
        <w:rPr>
          <w:rFonts w:hint="default" w:ascii="Times New Roman" w:hAnsi="Times New Roman" w:cs="Times New Roman"/>
          <w:lang w:eastAsia="zh-CN"/>
        </w:rPr>
        <w:t>:</w:t>
      </w:r>
      <w:r>
        <w:rPr>
          <w:rFonts w:hint="default" w:ascii="Times New Roman" w:hAnsi="Times New Roman" w:cs="Times New Roman"/>
        </w:rPr>
        <w:t xml:space="preserve"> </w:t>
      </w:r>
      <w:r>
        <w:rPr>
          <w:rFonts w:hint="default" w:ascii="Times New Roman" w:hAnsi="Times New Roman" w:cs="Times New Roman"/>
          <w:lang w:val="en-US"/>
        </w:rPr>
        <w:t>Aim for conclusion of the Tx spurious emissions co-existence levels re-evaluation not later that the end of 2025 (due to timeline in ETSI MSG TFES).</w:t>
      </w:r>
    </w:p>
    <w:p w14:paraId="0BEB073B">
      <w:pPr>
        <w:pageBreakBefore w:val="0"/>
        <w:kinsoku/>
        <w:wordWrap/>
        <w:topLinePunct w:val="0"/>
        <w:bidi w:val="0"/>
        <w:snapToGrid/>
        <w:outlineLvl w:val="9"/>
        <w:rPr>
          <w:rFonts w:hint="eastAsia"/>
          <w:lang w:val="en-US" w:eastAsia="zh-CN"/>
        </w:rPr>
      </w:pPr>
    </w:p>
    <w:p w14:paraId="5434CCAE">
      <w:pPr>
        <w:pageBreakBefore w:val="0"/>
        <w:kinsoku/>
        <w:wordWrap/>
        <w:topLinePunct w:val="0"/>
        <w:bidi w:val="0"/>
        <w:snapToGrid/>
        <w:outlineLvl w:val="9"/>
        <w:rPr>
          <w:rFonts w:hint="default" w:ascii="Times New Roman" w:hAnsi="Times New Roman" w:cs="Times New Roman"/>
          <w:b/>
          <w:bCs/>
          <w:lang w:val="en-US" w:eastAsia="zh-CN"/>
        </w:rPr>
      </w:pPr>
      <w:r>
        <w:rPr>
          <w:rFonts w:hint="eastAsia" w:ascii="Times New Roman" w:hAnsi="Times New Roman" w:cs="Times New Roman"/>
          <w:b/>
          <w:bCs/>
          <w:lang w:val="en-US" w:eastAsia="zh-CN"/>
        </w:rPr>
        <w:t>Perf part for EEIRP:</w:t>
      </w:r>
    </w:p>
    <w:p w14:paraId="583EFF6B">
      <w:pPr>
        <w:rPr>
          <w:rFonts w:hint="default" w:ascii="Times New Roman" w:hAnsi="Times New Roman" w:eastAsia="宋体" w:cs="Times New Roman"/>
          <w:color w:val="auto"/>
          <w:lang w:val="en-US" w:eastAsia="zh-CN"/>
        </w:rPr>
      </w:pPr>
      <w:r>
        <w:rPr>
          <w:rFonts w:hint="default" w:ascii="Times New Roman" w:hAnsi="Times New Roman" w:cs="Times New Roman"/>
          <w:b/>
          <w:bCs/>
          <w:iCs/>
          <w:color w:val="auto"/>
          <w:lang w:val="en-US" w:eastAsia="zh-CN"/>
        </w:rPr>
        <w:t xml:space="preserve">Issue 2-1: standard deviation for EEIRP summation error </w:t>
      </w:r>
    </w:p>
    <w:p w14:paraId="3272FE0D">
      <w:pPr>
        <w:pStyle w:val="134"/>
        <w:overflowPunct/>
        <w:autoSpaceDE/>
        <w:autoSpaceDN/>
        <w:adjustRightInd/>
        <w:spacing w:after="120"/>
        <w:ind w:left="0" w:leftChars="0" w:firstLine="0" w:firstLineChars="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 xml:space="preserve">Agreement: </w:t>
      </w:r>
    </w:p>
    <w:p w14:paraId="76259F2F">
      <w:pPr>
        <w:pStyle w:val="134"/>
        <w:numPr>
          <w:ilvl w:val="0"/>
          <w:numId w:val="23"/>
        </w:numPr>
        <w:overflowPunct/>
        <w:autoSpaceDE/>
        <w:autoSpaceDN/>
        <w:adjustRightInd/>
        <w:spacing w:after="120"/>
        <w:ind w:left="420" w:leftChars="0" w:hanging="420" w:firstLineChars="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 xml:space="preserve"> 0.5dB  </w:t>
      </w:r>
    </w:p>
    <w:p w14:paraId="1163806F">
      <w:pPr>
        <w:rPr>
          <w:rFonts w:hint="default" w:ascii="Times New Roman" w:hAnsi="Times New Roman" w:cs="Times New Roman"/>
          <w:color w:val="auto"/>
          <w:lang w:val="en-US"/>
        </w:rPr>
      </w:pPr>
      <w:r>
        <w:rPr>
          <w:rFonts w:hint="default" w:ascii="Times New Roman" w:hAnsi="Times New Roman" w:cs="Times New Roman"/>
          <w:b/>
          <w:bCs/>
          <w:iCs/>
          <w:color w:val="auto"/>
          <w:lang w:val="en-US" w:eastAsia="zh-CN"/>
        </w:rPr>
        <w:t xml:space="preserve">Issue 2-2: overall MU for EEIRP requirement </w:t>
      </w:r>
    </w:p>
    <w:p w14:paraId="6ED9E6B1">
      <w:pPr>
        <w:pStyle w:val="134"/>
        <w:overflowPunct/>
        <w:autoSpaceDE/>
        <w:autoSpaceDN/>
        <w:adjustRightInd/>
        <w:spacing w:after="120"/>
        <w:ind w:left="0" w:leftChars="0" w:firstLine="0" w:firstLineChars="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 xml:space="preserve">Agreement: </w:t>
      </w:r>
    </w:p>
    <w:p w14:paraId="06BBC054">
      <w:pPr>
        <w:pStyle w:val="134"/>
        <w:numPr>
          <w:ilvl w:val="0"/>
          <w:numId w:val="23"/>
        </w:numPr>
        <w:overflowPunct/>
        <w:autoSpaceDE/>
        <w:autoSpaceDN/>
        <w:adjustRightInd/>
        <w:spacing w:after="120"/>
        <w:ind w:left="420" w:leftChars="0" w:hanging="420" w:firstLineChars="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 xml:space="preserve"> 1.7dB</w:t>
      </w:r>
    </w:p>
    <w:p w14:paraId="5C74184F">
      <w:pPr>
        <w:rPr>
          <w:rFonts w:hint="default" w:ascii="Times New Roman" w:hAnsi="Times New Roman" w:cs="Times New Roman"/>
          <w:color w:val="auto"/>
          <w:lang w:val="en-US"/>
        </w:rPr>
      </w:pPr>
      <w:r>
        <w:rPr>
          <w:rFonts w:hint="default" w:ascii="Times New Roman" w:hAnsi="Times New Roman" w:cs="Times New Roman"/>
          <w:b/>
          <w:bCs/>
          <w:iCs/>
          <w:color w:val="auto"/>
          <w:lang w:val="en-US" w:eastAsia="zh-CN"/>
        </w:rPr>
        <w:t>Issue 2-3: mechanical tilts related issue</w:t>
      </w:r>
    </w:p>
    <w:p w14:paraId="5A48E875">
      <w:pPr>
        <w:pStyle w:val="134"/>
        <w:numPr>
          <w:ilvl w:val="0"/>
          <w:numId w:val="0"/>
        </w:numPr>
        <w:overflowPunct/>
        <w:autoSpaceDE/>
        <w:autoSpaceDN/>
        <w:adjustRightInd/>
        <w:spacing w:after="12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Agreement: the rotation equations in Annex N.2.1 are modified as follows</w:t>
      </w:r>
    </w:p>
    <w:p w14:paraId="44A764B0">
      <w:pPr>
        <w:ind w:left="1704" w:firstLine="284"/>
        <w:rPr>
          <w:rFonts w:hint="default" w:ascii="Times New Roman" w:hAnsi="Times New Roman" w:cs="Times New Roman"/>
          <w:color w:val="auto"/>
          <w:lang w:val="en-US"/>
        </w:rPr>
      </w:pPr>
      <m:oMathPara>
        <m:oMathParaPr>
          <m:jc m:val="left"/>
        </m:oMathParaPr>
        <m:oMath>
          <m:sSub>
            <m:sSubPr>
              <m:ctrlPr>
                <w:rPr>
                  <w:rFonts w:hint="default" w:ascii="Cambria Math" w:hAnsi="Cambria Math" w:cs="Times New Roman"/>
                  <w:i/>
                  <w:color w:val="auto"/>
                  <w:lang w:val="en-US"/>
                </w:rPr>
              </m:ctrlPr>
            </m:sSubPr>
            <m:e>
              <m:r>
                <m:rPr/>
                <w:rPr>
                  <w:rFonts w:hint="default" w:ascii="Cambria Math" w:hAnsi="Cambria Math" w:cs="Times New Roman"/>
                  <w:color w:val="auto"/>
                  <w:lang w:val="en-US"/>
                </w:rPr>
                <m:t>θ</m:t>
              </m:r>
              <m:ctrlPr>
                <w:rPr>
                  <w:rFonts w:hint="default" w:ascii="Cambria Math" w:hAnsi="Cambria Math" w:cs="Times New Roman"/>
                  <w:i/>
                  <w:color w:val="auto"/>
                  <w:lang w:val="en-US"/>
                </w:rPr>
              </m:ctrlPr>
            </m:e>
            <m:sub>
              <m:r>
                <m:rPr/>
                <w:rPr>
                  <w:rFonts w:hint="default" w:ascii="Cambria Math" w:hAnsi="Cambria Math" w:cs="Times New Roman"/>
                  <w:color w:val="auto"/>
                  <w:lang w:val="en-US"/>
                </w:rPr>
                <m:t>H</m:t>
              </m:r>
              <m:ctrlPr>
                <w:rPr>
                  <w:rFonts w:hint="default" w:ascii="Cambria Math" w:hAnsi="Cambria Math" w:cs="Times New Roman"/>
                  <w:i/>
                  <w:color w:val="auto"/>
                  <w:lang w:val="en-US"/>
                </w:rPr>
              </m:ctrlPr>
            </m:sub>
          </m:sSub>
          <m:r>
            <m:rPr/>
            <w:rPr>
              <w:rFonts w:hint="default" w:ascii="Cambria Math" w:hAnsi="Cambria Math" w:cs="Times New Roman"/>
              <w:color w:val="auto"/>
              <w:lang w:val="en-US"/>
            </w:rPr>
            <m:t>=90−</m:t>
          </m:r>
          <m:r>
            <m:rPr>
              <m:nor/>
              <m:sty m:val="p"/>
            </m:rPr>
            <w:rPr>
              <w:rFonts w:hint="default" w:ascii="Cambria Math" w:hAnsi="Cambria Math" w:cs="Times New Roman"/>
              <w:b w:val="0"/>
              <w:i w:val="0"/>
              <w:color w:val="auto"/>
              <w:lang w:val="en-US"/>
            </w:rPr>
            <m:t>arcco</m:t>
          </m:r>
          <m:r>
            <m:rPr/>
            <w:rPr>
              <w:rFonts w:hint="default" w:ascii="Cambria Math" w:hAnsi="Cambria Math" w:cs="Times New Roman"/>
              <w:color w:val="auto"/>
              <w:lang w:val="en-US"/>
            </w:rPr>
            <m:t>s</m:t>
          </m:r>
          <m:d>
            <m:dPr>
              <m:ctrlPr>
                <w:rPr>
                  <w:rFonts w:hint="default" w:ascii="Cambria Math" w:hAnsi="Cambria Math" w:cs="Times New Roman"/>
                  <w:i/>
                  <w:color w:val="auto"/>
                  <w:lang w:val="en-US"/>
                </w:rPr>
              </m:ctrlPr>
            </m:dPr>
            <m:e>
              <m:func>
                <m:funcPr>
                  <m:ctrlPr>
                    <w:rPr>
                      <w:rFonts w:hint="default" w:ascii="Cambria Math" w:hAnsi="Cambria Math" w:cs="Times New Roman"/>
                      <w:i/>
                      <w:color w:val="auto"/>
                      <w:lang w:val="en-US"/>
                    </w:rPr>
                  </m:ctrlPr>
                </m:funcPr>
                <m:fName>
                  <m:r>
                    <m:rPr/>
                    <w:rPr>
                      <w:rFonts w:hint="default" w:ascii="Cambria Math" w:hAnsi="Cambria Math" w:cs="Times New Roman"/>
                      <w:color w:val="auto"/>
                      <w:lang w:val="en-US"/>
                    </w:rPr>
                    <m:t>cos</m:t>
                  </m:r>
                  <m:ctrlPr>
                    <w:rPr>
                      <w:rFonts w:hint="default" w:ascii="Cambria Math" w:hAnsi="Cambria Math" w:cs="Times New Roman"/>
                      <w:i/>
                      <w:color w:val="auto"/>
                      <w:lang w:val="en-US"/>
                    </w:rPr>
                  </m:ctrlPr>
                </m:fName>
                <m:e>
                  <m:r>
                    <m:rPr/>
                    <w:rPr>
                      <w:rFonts w:hint="default" w:ascii="Cambria Math" w:hAnsi="Cambria Math" w:cs="Times New Roman"/>
                      <w:color w:val="auto"/>
                      <w:lang w:val="en-US"/>
                    </w:rPr>
                    <m:t>φ</m:t>
                  </m:r>
                  <m:ctrlPr>
                    <w:rPr>
                      <w:rFonts w:hint="default" w:ascii="Cambria Math" w:hAnsi="Cambria Math" w:cs="Times New Roman"/>
                      <w:i/>
                      <w:color w:val="auto"/>
                      <w:lang w:val="en-US"/>
                    </w:rPr>
                  </m:ctrlPr>
                </m:e>
              </m:func>
              <m:func>
                <m:funcPr>
                  <m:ctrlPr>
                    <w:rPr>
                      <w:rFonts w:hint="default" w:ascii="Cambria Math" w:hAnsi="Cambria Math" w:cs="Times New Roman"/>
                      <w:i/>
                      <w:color w:val="auto"/>
                      <w:lang w:val="en-US"/>
                    </w:rPr>
                  </m:ctrlPr>
                </m:funcPr>
                <m:fName>
                  <m:r>
                    <m:rPr/>
                    <w:rPr>
                      <w:rFonts w:hint="default" w:ascii="Cambria Math" w:hAnsi="Cambria Math" w:cs="Times New Roman"/>
                      <w:color w:val="auto"/>
                      <w:lang w:val="en-US"/>
                    </w:rPr>
                    <m:t>sin</m:t>
                  </m:r>
                  <m:ctrlPr>
                    <w:rPr>
                      <w:rFonts w:hint="default" w:ascii="Cambria Math" w:hAnsi="Cambria Math" w:cs="Times New Roman"/>
                      <w:i/>
                      <w:color w:val="auto"/>
                      <w:lang w:val="en-US"/>
                    </w:rPr>
                  </m:ctrlPr>
                </m:fName>
                <m:e>
                  <m:d>
                    <m:dPr>
                      <m:ctrlPr>
                        <w:rPr>
                          <w:rFonts w:hint="default" w:ascii="Cambria Math" w:hAnsi="Cambria Math" w:cs="Times New Roman"/>
                          <w:i/>
                          <w:color w:val="auto"/>
                          <w:lang w:val="en-US"/>
                        </w:rPr>
                      </m:ctrlPr>
                    </m:dPr>
                    <m:e>
                      <m:r>
                        <m:rPr/>
                        <w:rPr>
                          <w:rFonts w:hint="default" w:ascii="Cambria Math" w:hAnsi="Cambria Math" w:cs="Times New Roman"/>
                          <w:color w:val="auto"/>
                          <w:lang w:val="en-US"/>
                        </w:rPr>
                        <m:t>θ+90</m:t>
                      </m:r>
                      <m:ctrlPr>
                        <w:rPr>
                          <w:rFonts w:hint="default" w:ascii="Cambria Math" w:hAnsi="Cambria Math" w:cs="Times New Roman"/>
                          <w:i/>
                          <w:color w:val="auto"/>
                          <w:lang w:val="en-US"/>
                        </w:rPr>
                      </m:ctrlPr>
                    </m:e>
                  </m:d>
                  <m:ctrlPr>
                    <w:rPr>
                      <w:rFonts w:hint="default" w:ascii="Cambria Math" w:hAnsi="Cambria Math" w:cs="Times New Roman"/>
                      <w:i/>
                      <w:color w:val="auto"/>
                      <w:lang w:val="en-US"/>
                    </w:rPr>
                  </m:ctrlPr>
                </m:e>
              </m:func>
              <m:func>
                <m:funcPr>
                  <m:ctrlPr>
                    <w:rPr>
                      <w:rFonts w:hint="default" w:ascii="Cambria Math" w:hAnsi="Cambria Math" w:cs="Times New Roman"/>
                      <w:i/>
                      <w:color w:val="auto"/>
                      <w:lang w:val="en-US"/>
                    </w:rPr>
                  </m:ctrlPr>
                </m:funcPr>
                <m:fName>
                  <m:r>
                    <m:rPr>
                      <m:sty m:val="p"/>
                    </m:rPr>
                    <w:rPr>
                      <w:rFonts w:hint="default" w:ascii="Cambria Math" w:hAnsi="Cambria Math" w:cs="Times New Roman"/>
                      <w:color w:val="auto"/>
                      <w:lang w:val="en-US"/>
                    </w:rPr>
                    <m:t>sin</m:t>
                  </m:r>
                  <m:ctrlPr>
                    <w:rPr>
                      <w:rFonts w:hint="default" w:ascii="Cambria Math" w:hAnsi="Cambria Math" w:cs="Times New Roman"/>
                      <w:i/>
                      <w:color w:val="auto"/>
                      <w:lang w:val="en-US"/>
                    </w:rPr>
                  </m:ctrlPr>
                </m:fName>
                <m:e>
                  <m:d>
                    <m:dPr>
                      <m:ctrlPr>
                        <w:rPr>
                          <w:rFonts w:hint="default" w:ascii="Cambria Math" w:hAnsi="Cambria Math" w:cs="Times New Roman"/>
                          <w:i/>
                          <w:color w:val="auto"/>
                          <w:lang w:val="en-US"/>
                        </w:rPr>
                      </m:ctrlPr>
                    </m:dPr>
                    <m:e>
                      <m:r>
                        <m:rPr/>
                        <w:rPr>
                          <w:rFonts w:hint="default" w:ascii="Cambria Math" w:hAnsi="Cambria Math" w:cs="Times New Roman"/>
                          <w:color w:val="auto"/>
                          <w:lang w:val="en-US"/>
                        </w:rPr>
                        <m:t>−</m:t>
                      </m:r>
                      <m:sSub>
                        <m:sSubPr>
                          <m:ctrlPr>
                            <w:rPr>
                              <w:rFonts w:hint="default" w:ascii="Cambria Math" w:hAnsi="Cambria Math" w:cs="Times New Roman"/>
                              <w:i/>
                              <w:color w:val="auto"/>
                              <w:lang w:val="en-US"/>
                            </w:rPr>
                          </m:ctrlPr>
                        </m:sSubPr>
                        <m:e>
                          <m:r>
                            <m:rPr/>
                            <w:rPr>
                              <w:rFonts w:hint="default" w:ascii="Cambria Math" w:hAnsi="Cambria Math" w:cs="Times New Roman"/>
                              <w:color w:val="auto"/>
                              <w:lang w:val="en-US"/>
                            </w:rPr>
                            <m:t>θ</m:t>
                          </m:r>
                          <m:ctrlPr>
                            <w:rPr>
                              <w:rFonts w:hint="default" w:ascii="Cambria Math" w:hAnsi="Cambria Math" w:cs="Times New Roman"/>
                              <w:i/>
                              <w:color w:val="auto"/>
                              <w:lang w:val="en-US"/>
                            </w:rPr>
                          </m:ctrlPr>
                        </m:e>
                        <m:sub>
                          <m:r>
                            <m:rPr/>
                            <w:rPr>
                              <w:rFonts w:hint="default" w:ascii="Cambria Math" w:hAnsi="Cambria Math" w:cs="Times New Roman"/>
                              <w:color w:val="auto"/>
                              <w:lang w:val="en-US"/>
                            </w:rPr>
                            <m:t>MT</m:t>
                          </m:r>
                          <m:ctrlPr>
                            <w:rPr>
                              <w:rFonts w:hint="default" w:ascii="Cambria Math" w:hAnsi="Cambria Math" w:cs="Times New Roman"/>
                              <w:i/>
                              <w:color w:val="auto"/>
                              <w:lang w:val="en-US"/>
                            </w:rPr>
                          </m:ctrlPr>
                        </m:sub>
                      </m:sSub>
                      <m:ctrlPr>
                        <w:rPr>
                          <w:rFonts w:hint="default" w:ascii="Cambria Math" w:hAnsi="Cambria Math" w:cs="Times New Roman"/>
                          <w:i/>
                          <w:color w:val="auto"/>
                          <w:lang w:val="en-US"/>
                        </w:rPr>
                      </m:ctrlPr>
                    </m:e>
                  </m:d>
                  <m:ctrlPr>
                    <w:rPr>
                      <w:rFonts w:hint="default" w:ascii="Cambria Math" w:hAnsi="Cambria Math" w:cs="Times New Roman"/>
                      <w:i/>
                      <w:color w:val="auto"/>
                      <w:lang w:val="en-US"/>
                    </w:rPr>
                  </m:ctrlPr>
                </m:e>
              </m:func>
              <m:r>
                <m:rPr/>
                <w:rPr>
                  <w:rFonts w:hint="default" w:ascii="Cambria Math" w:hAnsi="Cambria Math" w:cs="Times New Roman"/>
                  <w:color w:val="auto"/>
                  <w:lang w:val="en-US"/>
                </w:rPr>
                <m:t>+</m:t>
              </m:r>
              <m:func>
                <m:funcPr>
                  <m:ctrlPr>
                    <w:rPr>
                      <w:rFonts w:hint="default" w:ascii="Cambria Math" w:hAnsi="Cambria Math" w:cs="Times New Roman"/>
                      <w:i/>
                      <w:color w:val="auto"/>
                      <w:lang w:val="en-US"/>
                    </w:rPr>
                  </m:ctrlPr>
                </m:funcPr>
                <m:fName>
                  <m:r>
                    <m:rPr/>
                    <w:rPr>
                      <w:rFonts w:hint="default" w:ascii="Cambria Math" w:hAnsi="Cambria Math" w:cs="Times New Roman"/>
                      <w:color w:val="auto"/>
                      <w:lang w:val="en-US"/>
                    </w:rPr>
                    <m:t>cos</m:t>
                  </m:r>
                  <m:ctrlPr>
                    <w:rPr>
                      <w:rFonts w:hint="default" w:ascii="Cambria Math" w:hAnsi="Cambria Math" w:cs="Times New Roman"/>
                      <w:i/>
                      <w:color w:val="auto"/>
                      <w:lang w:val="en-US"/>
                    </w:rPr>
                  </m:ctrlPr>
                </m:fName>
                <m:e>
                  <m:d>
                    <m:dPr>
                      <m:ctrlPr>
                        <w:rPr>
                          <w:rFonts w:hint="default" w:ascii="Cambria Math" w:hAnsi="Cambria Math" w:cs="Times New Roman"/>
                          <w:i/>
                          <w:color w:val="auto"/>
                          <w:lang w:val="en-US"/>
                        </w:rPr>
                      </m:ctrlPr>
                    </m:dPr>
                    <m:e>
                      <m:r>
                        <m:rPr/>
                        <w:rPr>
                          <w:rFonts w:hint="default" w:ascii="Cambria Math" w:hAnsi="Cambria Math" w:cs="Times New Roman"/>
                          <w:color w:val="auto"/>
                          <w:lang w:val="en-US"/>
                        </w:rPr>
                        <m:t>θ+90</m:t>
                      </m:r>
                      <m:ctrlPr>
                        <w:rPr>
                          <w:rFonts w:hint="default" w:ascii="Cambria Math" w:hAnsi="Cambria Math" w:cs="Times New Roman"/>
                          <w:i/>
                          <w:color w:val="auto"/>
                          <w:lang w:val="en-US"/>
                        </w:rPr>
                      </m:ctrlPr>
                    </m:e>
                  </m:d>
                  <m:ctrlPr>
                    <w:rPr>
                      <w:rFonts w:hint="default" w:ascii="Cambria Math" w:hAnsi="Cambria Math" w:cs="Times New Roman"/>
                      <w:i/>
                      <w:color w:val="auto"/>
                      <w:lang w:val="en-US"/>
                    </w:rPr>
                  </m:ctrlPr>
                </m:e>
              </m:func>
              <m:func>
                <m:funcPr>
                  <m:ctrlPr>
                    <w:rPr>
                      <w:rFonts w:hint="default" w:ascii="Cambria Math" w:hAnsi="Cambria Math" w:cs="Times New Roman"/>
                      <w:i/>
                      <w:color w:val="auto"/>
                      <w:lang w:val="en-US"/>
                    </w:rPr>
                  </m:ctrlPr>
                </m:funcPr>
                <m:fName>
                  <m:r>
                    <m:rPr>
                      <m:sty m:val="p"/>
                    </m:rPr>
                    <w:rPr>
                      <w:rFonts w:hint="default" w:ascii="Cambria Math" w:hAnsi="Cambria Math" w:cs="Times New Roman"/>
                      <w:color w:val="auto"/>
                      <w:lang w:val="en-US"/>
                    </w:rPr>
                    <m:t>cos</m:t>
                  </m:r>
                  <m:ctrlPr>
                    <w:rPr>
                      <w:rFonts w:hint="default" w:ascii="Cambria Math" w:hAnsi="Cambria Math" w:cs="Times New Roman"/>
                      <w:i/>
                      <w:color w:val="auto"/>
                      <w:lang w:val="en-US"/>
                    </w:rPr>
                  </m:ctrlPr>
                </m:fName>
                <m:e>
                  <m:d>
                    <m:dPr>
                      <m:ctrlPr>
                        <w:rPr>
                          <w:rFonts w:hint="default" w:ascii="Cambria Math" w:hAnsi="Cambria Math" w:cs="Times New Roman"/>
                          <w:i/>
                          <w:color w:val="auto"/>
                          <w:lang w:val="en-US"/>
                        </w:rPr>
                      </m:ctrlPr>
                    </m:dPr>
                    <m:e>
                      <m:sSub>
                        <m:sSubPr>
                          <m:ctrlPr>
                            <w:rPr>
                              <w:rFonts w:hint="default" w:ascii="Cambria Math" w:hAnsi="Cambria Math" w:cs="Times New Roman"/>
                              <w:i/>
                              <w:color w:val="auto"/>
                              <w:lang w:val="en-US"/>
                            </w:rPr>
                          </m:ctrlPr>
                        </m:sSubPr>
                        <m:e>
                          <m:r>
                            <m:rPr/>
                            <w:rPr>
                              <w:rFonts w:hint="default" w:ascii="Cambria Math" w:hAnsi="Cambria Math" w:cs="Times New Roman"/>
                              <w:color w:val="auto"/>
                              <w:lang w:val="en-US"/>
                            </w:rPr>
                            <m:t>−θ</m:t>
                          </m:r>
                          <m:ctrlPr>
                            <w:rPr>
                              <w:rFonts w:hint="default" w:ascii="Cambria Math" w:hAnsi="Cambria Math" w:cs="Times New Roman"/>
                              <w:i/>
                              <w:color w:val="auto"/>
                              <w:lang w:val="en-US"/>
                            </w:rPr>
                          </m:ctrlPr>
                        </m:e>
                        <m:sub>
                          <m:r>
                            <m:rPr/>
                            <w:rPr>
                              <w:rFonts w:hint="default" w:ascii="Cambria Math" w:hAnsi="Cambria Math" w:cs="Times New Roman"/>
                              <w:color w:val="auto"/>
                              <w:lang w:val="en-US"/>
                            </w:rPr>
                            <m:t>MT</m:t>
                          </m:r>
                          <m:ctrlPr>
                            <w:rPr>
                              <w:rFonts w:hint="default" w:ascii="Cambria Math" w:hAnsi="Cambria Math" w:cs="Times New Roman"/>
                              <w:i/>
                              <w:color w:val="auto"/>
                              <w:lang w:val="en-US"/>
                            </w:rPr>
                          </m:ctrlPr>
                        </m:sub>
                      </m:sSub>
                      <m:ctrlPr>
                        <w:rPr>
                          <w:rFonts w:hint="default" w:ascii="Cambria Math" w:hAnsi="Cambria Math" w:cs="Times New Roman"/>
                          <w:i/>
                          <w:color w:val="auto"/>
                          <w:lang w:val="en-US"/>
                        </w:rPr>
                      </m:ctrlPr>
                    </m:e>
                  </m:d>
                  <m:ctrlPr>
                    <w:rPr>
                      <w:rFonts w:hint="default" w:ascii="Cambria Math" w:hAnsi="Cambria Math" w:cs="Times New Roman"/>
                      <w:i/>
                      <w:color w:val="auto"/>
                      <w:lang w:val="en-US"/>
                    </w:rPr>
                  </m:ctrlPr>
                </m:e>
              </m:func>
              <m:ctrlPr>
                <w:rPr>
                  <w:rFonts w:hint="default" w:ascii="Cambria Math" w:hAnsi="Cambria Math" w:cs="Times New Roman"/>
                  <w:i/>
                  <w:color w:val="auto"/>
                  <w:lang w:val="en-US"/>
                </w:rPr>
              </m:ctrlPr>
            </m:e>
          </m:d>
        </m:oMath>
      </m:oMathPara>
    </w:p>
    <w:p w14:paraId="6B35B1AD">
      <w:pPr>
        <w:ind w:left="1704" w:firstLine="284"/>
        <w:rPr>
          <w:rFonts w:hint="default" w:ascii="Times New Roman" w:hAnsi="Times New Roman" w:cs="Times New Roman"/>
          <w:color w:val="auto"/>
          <w:lang w:val="en-US"/>
        </w:rPr>
      </w:pPr>
      <m:oMathPara>
        <m:oMathParaPr>
          <m:jc m:val="left"/>
        </m:oMathParaPr>
        <m:oMath>
          <m:sSub>
            <m:sSubPr>
              <m:ctrlPr>
                <w:rPr>
                  <w:rFonts w:hint="default" w:ascii="Cambria Math" w:hAnsi="Cambria Math" w:cs="Times New Roman"/>
                  <w:i/>
                  <w:color w:val="auto"/>
                  <w:lang w:val="en-US"/>
                </w:rPr>
              </m:ctrlPr>
            </m:sSubPr>
            <m:e>
              <m:r>
                <m:rPr/>
                <w:rPr>
                  <w:rFonts w:hint="default" w:ascii="Cambria Math" w:hAnsi="Cambria Math" w:cs="Times New Roman"/>
                  <w:color w:val="auto"/>
                  <w:lang w:val="en-US"/>
                </w:rPr>
                <m:t>φ</m:t>
              </m:r>
              <m:ctrlPr>
                <w:rPr>
                  <w:rFonts w:hint="default" w:ascii="Cambria Math" w:hAnsi="Cambria Math" w:cs="Times New Roman"/>
                  <w:i/>
                  <w:color w:val="auto"/>
                  <w:lang w:val="en-US"/>
                </w:rPr>
              </m:ctrlPr>
            </m:e>
            <m:sub>
              <m:r>
                <m:rPr/>
                <w:rPr>
                  <w:rFonts w:hint="default" w:ascii="Cambria Math" w:hAnsi="Cambria Math" w:cs="Times New Roman"/>
                  <w:color w:val="auto"/>
                  <w:lang w:val="en-US"/>
                </w:rPr>
                <m:t>H</m:t>
              </m:r>
              <m:ctrlPr>
                <w:rPr>
                  <w:rFonts w:hint="default" w:ascii="Cambria Math" w:hAnsi="Cambria Math" w:cs="Times New Roman"/>
                  <w:i/>
                  <w:color w:val="auto"/>
                  <w:lang w:val="en-US"/>
                </w:rPr>
              </m:ctrlPr>
            </m:sub>
          </m:sSub>
          <m:r>
            <m:rPr/>
            <w:rPr>
              <w:rFonts w:hint="default" w:ascii="Cambria Math" w:hAnsi="Cambria Math" w:cs="Times New Roman"/>
              <w:color w:val="auto"/>
              <w:lang w:val="en-US"/>
            </w:rPr>
            <m:t>=</m:t>
          </m:r>
          <m:func>
            <m:funcPr>
              <m:ctrlPr>
                <w:rPr>
                  <w:rFonts w:hint="default" w:ascii="Cambria Math" w:hAnsi="Cambria Math" w:cs="Times New Roman"/>
                  <w:i/>
                  <w:color w:val="auto"/>
                  <w:lang w:val="en-US"/>
                </w:rPr>
              </m:ctrlPr>
            </m:funcPr>
            <m:fName>
              <m:r>
                <m:rPr/>
                <w:rPr>
                  <w:rFonts w:hint="default" w:ascii="Cambria Math" w:hAnsi="Cambria Math" w:cs="Times New Roman"/>
                  <w:color w:val="auto"/>
                  <w:lang w:val="en-US"/>
                </w:rPr>
                <m:t>arg</m:t>
              </m:r>
              <m:ctrlPr>
                <w:rPr>
                  <w:rFonts w:hint="default" w:ascii="Cambria Math" w:hAnsi="Cambria Math" w:cs="Times New Roman"/>
                  <w:i/>
                  <w:color w:val="auto"/>
                  <w:lang w:val="en-US"/>
                </w:rPr>
              </m:ctrlPr>
            </m:fName>
            <m:e>
              <m:d>
                <m:dPr>
                  <m:ctrlPr>
                    <w:rPr>
                      <w:rFonts w:hint="default" w:ascii="Cambria Math" w:hAnsi="Cambria Math" w:cs="Times New Roman"/>
                      <w:i/>
                      <w:color w:val="auto"/>
                      <w:lang w:val="en-US"/>
                    </w:rPr>
                  </m:ctrlPr>
                </m:dPr>
                <m:e>
                  <m:func>
                    <m:funcPr>
                      <m:ctrlPr>
                        <w:rPr>
                          <w:rFonts w:hint="default" w:ascii="Cambria Math" w:hAnsi="Cambria Math" w:cs="Times New Roman"/>
                          <w:i/>
                          <w:color w:val="auto"/>
                          <w:lang w:val="en-US"/>
                        </w:rPr>
                      </m:ctrlPr>
                    </m:funcPr>
                    <m:fName>
                      <m:r>
                        <m:rPr/>
                        <w:rPr>
                          <w:rFonts w:hint="default" w:ascii="Cambria Math" w:hAnsi="Cambria Math" w:cs="Times New Roman"/>
                          <w:color w:val="auto"/>
                          <w:lang w:val="en-US"/>
                        </w:rPr>
                        <m:t>cos</m:t>
                      </m:r>
                      <m:ctrlPr>
                        <w:rPr>
                          <w:rFonts w:hint="default" w:ascii="Cambria Math" w:hAnsi="Cambria Math" w:cs="Times New Roman"/>
                          <w:i/>
                          <w:color w:val="auto"/>
                          <w:lang w:val="en-US"/>
                        </w:rPr>
                      </m:ctrlPr>
                    </m:fName>
                    <m:e>
                      <m:r>
                        <m:rPr/>
                        <w:rPr>
                          <w:rFonts w:hint="default" w:ascii="Cambria Math" w:hAnsi="Cambria Math" w:cs="Times New Roman"/>
                          <w:color w:val="auto"/>
                          <w:lang w:val="en-US"/>
                        </w:rPr>
                        <m:t>φ</m:t>
                      </m:r>
                      <m:ctrlPr>
                        <w:rPr>
                          <w:rFonts w:hint="default" w:ascii="Cambria Math" w:hAnsi="Cambria Math" w:cs="Times New Roman"/>
                          <w:i/>
                          <w:color w:val="auto"/>
                          <w:lang w:val="en-US"/>
                        </w:rPr>
                      </m:ctrlPr>
                    </m:e>
                  </m:func>
                  <m:func>
                    <m:funcPr>
                      <m:ctrlPr>
                        <w:rPr>
                          <w:rFonts w:hint="default" w:ascii="Cambria Math" w:hAnsi="Cambria Math" w:cs="Times New Roman"/>
                          <w:i/>
                          <w:color w:val="auto"/>
                          <w:lang w:val="en-US"/>
                        </w:rPr>
                      </m:ctrlPr>
                    </m:funcPr>
                    <m:fName>
                      <m:r>
                        <m:rPr/>
                        <w:rPr>
                          <w:rFonts w:hint="default" w:ascii="Cambria Math" w:hAnsi="Cambria Math" w:cs="Times New Roman"/>
                          <w:color w:val="auto"/>
                          <w:lang w:val="en-US"/>
                        </w:rPr>
                        <m:t>sin</m:t>
                      </m:r>
                      <m:ctrlPr>
                        <w:rPr>
                          <w:rFonts w:hint="default" w:ascii="Cambria Math" w:hAnsi="Cambria Math" w:cs="Times New Roman"/>
                          <w:i/>
                          <w:color w:val="auto"/>
                          <w:lang w:val="en-US"/>
                        </w:rPr>
                      </m:ctrlPr>
                    </m:fName>
                    <m:e>
                      <m:d>
                        <m:dPr>
                          <m:ctrlPr>
                            <w:rPr>
                              <w:rFonts w:hint="default" w:ascii="Cambria Math" w:hAnsi="Cambria Math" w:cs="Times New Roman"/>
                              <w:i/>
                              <w:color w:val="auto"/>
                              <w:lang w:val="en-US"/>
                            </w:rPr>
                          </m:ctrlPr>
                        </m:dPr>
                        <m:e>
                          <m:r>
                            <m:rPr/>
                            <w:rPr>
                              <w:rFonts w:hint="default" w:ascii="Cambria Math" w:hAnsi="Cambria Math" w:cs="Times New Roman"/>
                              <w:color w:val="auto"/>
                              <w:lang w:val="en-US"/>
                            </w:rPr>
                            <m:t>θ+90</m:t>
                          </m:r>
                          <m:ctrlPr>
                            <w:rPr>
                              <w:rFonts w:hint="default" w:ascii="Cambria Math" w:hAnsi="Cambria Math" w:cs="Times New Roman"/>
                              <w:i/>
                              <w:color w:val="auto"/>
                              <w:lang w:val="en-US"/>
                            </w:rPr>
                          </m:ctrlPr>
                        </m:e>
                      </m:d>
                      <m:ctrlPr>
                        <w:rPr>
                          <w:rFonts w:hint="default" w:ascii="Cambria Math" w:hAnsi="Cambria Math" w:cs="Times New Roman"/>
                          <w:i/>
                          <w:color w:val="auto"/>
                          <w:lang w:val="en-US"/>
                        </w:rPr>
                      </m:ctrlPr>
                    </m:e>
                  </m:func>
                  <m:func>
                    <m:funcPr>
                      <m:ctrlPr>
                        <w:rPr>
                          <w:rFonts w:hint="default" w:ascii="Cambria Math" w:hAnsi="Cambria Math" w:cs="Times New Roman"/>
                          <w:i/>
                          <w:color w:val="auto"/>
                          <w:lang w:val="en-US"/>
                        </w:rPr>
                      </m:ctrlPr>
                    </m:funcPr>
                    <m:fName>
                      <m:func>
                        <m:funcPr>
                          <m:ctrlPr>
                            <w:rPr>
                              <w:rFonts w:hint="default" w:ascii="Cambria Math" w:hAnsi="Cambria Math" w:cs="Times New Roman"/>
                              <w:i/>
                              <w:color w:val="auto"/>
                              <w:lang w:val="en-US"/>
                            </w:rPr>
                          </m:ctrlPr>
                        </m:funcPr>
                        <m:fName>
                          <m:r>
                            <m:rPr>
                              <m:sty m:val="p"/>
                            </m:rPr>
                            <w:rPr>
                              <w:rFonts w:hint="default" w:ascii="Cambria Math" w:hAnsi="Cambria Math" w:cs="Times New Roman"/>
                              <w:color w:val="auto"/>
                              <w:lang w:val="en-US"/>
                            </w:rPr>
                            <m:t>cos</m:t>
                          </m:r>
                          <m:ctrlPr>
                            <w:rPr>
                              <w:rFonts w:hint="default" w:ascii="Cambria Math" w:hAnsi="Cambria Math" w:cs="Times New Roman"/>
                              <w:i/>
                              <w:color w:val="auto"/>
                              <w:lang w:val="en-US"/>
                            </w:rPr>
                          </m:ctrlPr>
                        </m:fName>
                        <m:e>
                          <m:d>
                            <m:dPr>
                              <m:ctrlPr>
                                <w:rPr>
                                  <w:rFonts w:hint="default" w:ascii="Cambria Math" w:hAnsi="Cambria Math" w:cs="Times New Roman"/>
                                  <w:i/>
                                  <w:color w:val="auto"/>
                                  <w:lang w:val="en-US"/>
                                </w:rPr>
                              </m:ctrlPr>
                            </m:dPr>
                            <m:e>
                              <m:sSub>
                                <m:sSubPr>
                                  <m:ctrlPr>
                                    <w:rPr>
                                      <w:rFonts w:hint="default" w:ascii="Cambria Math" w:hAnsi="Cambria Math" w:cs="Times New Roman"/>
                                      <w:i/>
                                      <w:color w:val="auto"/>
                                      <w:lang w:val="en-US"/>
                                    </w:rPr>
                                  </m:ctrlPr>
                                </m:sSubPr>
                                <m:e>
                                  <m:r>
                                    <m:rPr/>
                                    <w:rPr>
                                      <w:rFonts w:hint="default" w:ascii="Cambria Math" w:hAnsi="Cambria Math" w:cs="Times New Roman"/>
                                      <w:color w:val="auto"/>
                                      <w:lang w:val="en-US"/>
                                    </w:rPr>
                                    <m:t>−θ</m:t>
                                  </m:r>
                                  <m:ctrlPr>
                                    <w:rPr>
                                      <w:rFonts w:hint="default" w:ascii="Cambria Math" w:hAnsi="Cambria Math" w:cs="Times New Roman"/>
                                      <w:i/>
                                      <w:color w:val="auto"/>
                                      <w:lang w:val="en-US"/>
                                    </w:rPr>
                                  </m:ctrlPr>
                                </m:e>
                                <m:sub>
                                  <m:r>
                                    <m:rPr/>
                                    <w:rPr>
                                      <w:rFonts w:hint="default" w:ascii="Cambria Math" w:hAnsi="Cambria Math" w:cs="Times New Roman"/>
                                      <w:color w:val="auto"/>
                                      <w:lang w:val="en-US"/>
                                    </w:rPr>
                                    <m:t>MT</m:t>
                                  </m:r>
                                  <m:ctrlPr>
                                    <w:rPr>
                                      <w:rFonts w:hint="default" w:ascii="Cambria Math" w:hAnsi="Cambria Math" w:cs="Times New Roman"/>
                                      <w:i/>
                                      <w:color w:val="auto"/>
                                      <w:lang w:val="en-US"/>
                                    </w:rPr>
                                  </m:ctrlPr>
                                </m:sub>
                              </m:sSub>
                              <m:ctrlPr>
                                <w:rPr>
                                  <w:rFonts w:hint="default" w:ascii="Cambria Math" w:hAnsi="Cambria Math" w:cs="Times New Roman"/>
                                  <w:i/>
                                  <w:color w:val="auto"/>
                                  <w:lang w:val="en-US"/>
                                </w:rPr>
                              </m:ctrlPr>
                            </m:e>
                          </m:d>
                          <m:ctrlPr>
                            <w:rPr>
                              <w:rFonts w:hint="default" w:ascii="Cambria Math" w:hAnsi="Cambria Math" w:cs="Times New Roman"/>
                              <w:i/>
                              <w:color w:val="auto"/>
                              <w:lang w:val="en-US"/>
                            </w:rPr>
                          </m:ctrlPr>
                        </m:e>
                      </m:func>
                      <m:ctrlPr>
                        <w:rPr>
                          <w:rFonts w:hint="default" w:ascii="Cambria Math" w:hAnsi="Cambria Math" w:cs="Times New Roman"/>
                          <w:i/>
                          <w:color w:val="auto"/>
                          <w:lang w:val="en-US"/>
                        </w:rPr>
                      </m:ctrlPr>
                    </m:fName>
                    <m:e>
                      <m:r>
                        <m:rPr/>
                        <w:rPr>
                          <w:rFonts w:hint="default" w:ascii="Cambria Math" w:hAnsi="Cambria Math" w:cs="Times New Roman"/>
                          <w:color w:val="auto"/>
                          <w:lang w:val="en-US"/>
                        </w:rPr>
                        <m:t>−</m:t>
                      </m:r>
                      <m:ctrlPr>
                        <w:rPr>
                          <w:rFonts w:hint="default" w:ascii="Cambria Math" w:hAnsi="Cambria Math" w:cs="Times New Roman"/>
                          <w:i/>
                          <w:color w:val="auto"/>
                          <w:lang w:val="en-US"/>
                        </w:rPr>
                      </m:ctrlPr>
                    </m:e>
                  </m:func>
                  <m:func>
                    <m:funcPr>
                      <m:ctrlPr>
                        <w:rPr>
                          <w:rFonts w:hint="default" w:ascii="Cambria Math" w:hAnsi="Cambria Math" w:cs="Times New Roman"/>
                          <w:i/>
                          <w:color w:val="auto"/>
                          <w:lang w:val="en-US"/>
                        </w:rPr>
                      </m:ctrlPr>
                    </m:funcPr>
                    <m:fName>
                      <m:r>
                        <m:rPr/>
                        <w:rPr>
                          <w:rFonts w:hint="default" w:ascii="Cambria Math" w:hAnsi="Cambria Math" w:cs="Times New Roman"/>
                          <w:color w:val="auto"/>
                          <w:lang w:val="en-US"/>
                        </w:rPr>
                        <m:t>cos</m:t>
                      </m:r>
                      <m:ctrlPr>
                        <w:rPr>
                          <w:rFonts w:hint="default" w:ascii="Cambria Math" w:hAnsi="Cambria Math" w:cs="Times New Roman"/>
                          <w:i/>
                          <w:color w:val="auto"/>
                          <w:lang w:val="en-US"/>
                        </w:rPr>
                      </m:ctrlPr>
                    </m:fName>
                    <m:e>
                      <m:d>
                        <m:dPr>
                          <m:ctrlPr>
                            <w:rPr>
                              <w:rFonts w:hint="default" w:ascii="Cambria Math" w:hAnsi="Cambria Math" w:cs="Times New Roman"/>
                              <w:i/>
                              <w:color w:val="auto"/>
                              <w:lang w:val="en-US"/>
                            </w:rPr>
                          </m:ctrlPr>
                        </m:dPr>
                        <m:e>
                          <m:r>
                            <m:rPr/>
                            <w:rPr>
                              <w:rFonts w:hint="default" w:ascii="Cambria Math" w:hAnsi="Cambria Math" w:cs="Times New Roman"/>
                              <w:color w:val="auto"/>
                              <w:lang w:val="en-US"/>
                            </w:rPr>
                            <m:t>θ+90</m:t>
                          </m:r>
                          <m:ctrlPr>
                            <w:rPr>
                              <w:rFonts w:hint="default" w:ascii="Cambria Math" w:hAnsi="Cambria Math" w:cs="Times New Roman"/>
                              <w:i/>
                              <w:color w:val="auto"/>
                              <w:lang w:val="en-US"/>
                            </w:rPr>
                          </m:ctrlPr>
                        </m:e>
                      </m:d>
                      <m:ctrlPr>
                        <w:rPr>
                          <w:rFonts w:hint="default" w:ascii="Cambria Math" w:hAnsi="Cambria Math" w:cs="Times New Roman"/>
                          <w:i/>
                          <w:color w:val="auto"/>
                          <w:lang w:val="en-US"/>
                        </w:rPr>
                      </m:ctrlPr>
                    </m:e>
                  </m:func>
                  <m:func>
                    <m:funcPr>
                      <m:ctrlPr>
                        <w:rPr>
                          <w:rFonts w:hint="default" w:ascii="Cambria Math" w:hAnsi="Cambria Math" w:cs="Times New Roman"/>
                          <w:i/>
                          <w:color w:val="auto"/>
                          <w:lang w:val="en-US"/>
                        </w:rPr>
                      </m:ctrlPr>
                    </m:funcPr>
                    <m:fName>
                      <m:func>
                        <m:funcPr>
                          <m:ctrlPr>
                            <w:rPr>
                              <w:rFonts w:hint="default" w:ascii="Cambria Math" w:hAnsi="Cambria Math" w:cs="Times New Roman"/>
                              <w:i/>
                              <w:color w:val="auto"/>
                              <w:lang w:val="en-US"/>
                            </w:rPr>
                          </m:ctrlPr>
                        </m:funcPr>
                        <m:fName>
                          <m:r>
                            <m:rPr>
                              <m:sty m:val="p"/>
                            </m:rPr>
                            <w:rPr>
                              <w:rFonts w:hint="default" w:ascii="Cambria Math" w:hAnsi="Cambria Math" w:cs="Times New Roman"/>
                              <w:color w:val="auto"/>
                              <w:lang w:val="en-US"/>
                            </w:rPr>
                            <m:t>sin</m:t>
                          </m:r>
                          <m:ctrlPr>
                            <w:rPr>
                              <w:rFonts w:hint="default" w:ascii="Cambria Math" w:hAnsi="Cambria Math" w:cs="Times New Roman"/>
                              <w:i/>
                              <w:color w:val="auto"/>
                              <w:lang w:val="en-US"/>
                            </w:rPr>
                          </m:ctrlPr>
                        </m:fName>
                        <m:e>
                          <m:d>
                            <m:dPr>
                              <m:ctrlPr>
                                <w:rPr>
                                  <w:rFonts w:hint="default" w:ascii="Cambria Math" w:hAnsi="Cambria Math" w:cs="Times New Roman"/>
                                  <w:i/>
                                  <w:color w:val="auto"/>
                                  <w:lang w:val="en-US"/>
                                </w:rPr>
                              </m:ctrlPr>
                            </m:dPr>
                            <m:e>
                              <m:sSub>
                                <m:sSubPr>
                                  <m:ctrlPr>
                                    <w:rPr>
                                      <w:rFonts w:hint="default" w:ascii="Cambria Math" w:hAnsi="Cambria Math" w:cs="Times New Roman"/>
                                      <w:i/>
                                      <w:color w:val="auto"/>
                                      <w:lang w:val="en-US"/>
                                    </w:rPr>
                                  </m:ctrlPr>
                                </m:sSubPr>
                                <m:e>
                                  <m:r>
                                    <m:rPr/>
                                    <w:rPr>
                                      <w:rFonts w:hint="default" w:ascii="Cambria Math" w:hAnsi="Cambria Math" w:cs="Times New Roman"/>
                                      <w:color w:val="auto"/>
                                      <w:lang w:val="en-US"/>
                                    </w:rPr>
                                    <m:t>−θ</m:t>
                                  </m:r>
                                  <m:ctrlPr>
                                    <w:rPr>
                                      <w:rFonts w:hint="default" w:ascii="Cambria Math" w:hAnsi="Cambria Math" w:cs="Times New Roman"/>
                                      <w:i/>
                                      <w:color w:val="auto"/>
                                      <w:lang w:val="en-US"/>
                                    </w:rPr>
                                  </m:ctrlPr>
                                </m:e>
                                <m:sub>
                                  <m:r>
                                    <m:rPr/>
                                    <w:rPr>
                                      <w:rFonts w:hint="default" w:ascii="Cambria Math" w:hAnsi="Cambria Math" w:cs="Times New Roman"/>
                                      <w:color w:val="auto"/>
                                      <w:lang w:val="en-US"/>
                                    </w:rPr>
                                    <m:t>MT</m:t>
                                  </m:r>
                                  <m:ctrlPr>
                                    <w:rPr>
                                      <w:rFonts w:hint="default" w:ascii="Cambria Math" w:hAnsi="Cambria Math" w:cs="Times New Roman"/>
                                      <w:i/>
                                      <w:color w:val="auto"/>
                                      <w:lang w:val="en-US"/>
                                    </w:rPr>
                                  </m:ctrlPr>
                                </m:sub>
                              </m:sSub>
                              <m:ctrlPr>
                                <w:rPr>
                                  <w:rFonts w:hint="default" w:ascii="Cambria Math" w:hAnsi="Cambria Math" w:cs="Times New Roman"/>
                                  <w:i/>
                                  <w:color w:val="auto"/>
                                  <w:lang w:val="en-US"/>
                                </w:rPr>
                              </m:ctrlPr>
                            </m:e>
                          </m:d>
                          <m:ctrlPr>
                            <w:rPr>
                              <w:rFonts w:hint="default" w:ascii="Cambria Math" w:hAnsi="Cambria Math" w:cs="Times New Roman"/>
                              <w:i/>
                              <w:color w:val="auto"/>
                              <w:lang w:val="en-US"/>
                            </w:rPr>
                          </m:ctrlPr>
                        </m:e>
                      </m:func>
                      <m:ctrlPr>
                        <w:rPr>
                          <w:rFonts w:hint="default" w:ascii="Cambria Math" w:hAnsi="Cambria Math" w:cs="Times New Roman"/>
                          <w:i/>
                          <w:color w:val="auto"/>
                          <w:lang w:val="en-US"/>
                        </w:rPr>
                      </m:ctrlPr>
                    </m:fName>
                    <m:e>
                      <m:r>
                        <m:rPr/>
                        <w:rPr>
                          <w:rFonts w:hint="default" w:ascii="Cambria Math" w:hAnsi="Cambria Math" w:cs="Times New Roman"/>
                          <w:color w:val="auto"/>
                          <w:lang w:val="en-US"/>
                        </w:rPr>
                        <m:t>+</m:t>
                      </m:r>
                      <m:ctrlPr>
                        <w:rPr>
                          <w:rFonts w:hint="default" w:ascii="Cambria Math" w:hAnsi="Cambria Math" w:cs="Times New Roman"/>
                          <w:i/>
                          <w:color w:val="auto"/>
                          <w:lang w:val="en-US"/>
                        </w:rPr>
                      </m:ctrlPr>
                    </m:e>
                  </m:func>
                  <m:r>
                    <m:rPr/>
                    <w:rPr>
                      <w:rFonts w:hint="default" w:ascii="Cambria Math" w:hAnsi="Cambria Math" w:cs="Times New Roman"/>
                      <w:color w:val="auto"/>
                      <w:lang w:val="en-US"/>
                    </w:rPr>
                    <m:t>j</m:t>
                  </m:r>
                  <m:func>
                    <m:funcPr>
                      <m:ctrlPr>
                        <w:rPr>
                          <w:rFonts w:hint="default" w:ascii="Cambria Math" w:hAnsi="Cambria Math" w:cs="Times New Roman"/>
                          <w:i/>
                          <w:color w:val="auto"/>
                          <w:lang w:val="en-US"/>
                        </w:rPr>
                      </m:ctrlPr>
                    </m:funcPr>
                    <m:fName>
                      <m:r>
                        <m:rPr/>
                        <w:rPr>
                          <w:rFonts w:hint="default" w:ascii="Cambria Math" w:hAnsi="Cambria Math" w:cs="Times New Roman"/>
                          <w:color w:val="auto"/>
                          <w:lang w:val="en-US"/>
                        </w:rPr>
                        <m:t>sin</m:t>
                      </m:r>
                      <m:ctrlPr>
                        <w:rPr>
                          <w:rFonts w:hint="default" w:ascii="Cambria Math" w:hAnsi="Cambria Math" w:cs="Times New Roman"/>
                          <w:i/>
                          <w:color w:val="auto"/>
                          <w:lang w:val="en-US"/>
                        </w:rPr>
                      </m:ctrlPr>
                    </m:fName>
                    <m:e>
                      <m:r>
                        <m:rPr/>
                        <w:rPr>
                          <w:rFonts w:hint="default" w:ascii="Cambria Math" w:hAnsi="Cambria Math" w:cs="Times New Roman"/>
                          <w:color w:val="auto"/>
                          <w:lang w:val="en-US"/>
                        </w:rPr>
                        <m:t>φ</m:t>
                      </m:r>
                      <m:ctrlPr>
                        <w:rPr>
                          <w:rFonts w:hint="default" w:ascii="Cambria Math" w:hAnsi="Cambria Math" w:cs="Times New Roman"/>
                          <w:i/>
                          <w:color w:val="auto"/>
                          <w:lang w:val="en-US"/>
                        </w:rPr>
                      </m:ctrlPr>
                    </m:e>
                  </m:func>
                  <m:func>
                    <m:funcPr>
                      <m:ctrlPr>
                        <w:rPr>
                          <w:rFonts w:hint="default" w:ascii="Cambria Math" w:hAnsi="Cambria Math" w:cs="Times New Roman"/>
                          <w:i/>
                          <w:color w:val="auto"/>
                          <w:lang w:val="en-US"/>
                        </w:rPr>
                      </m:ctrlPr>
                    </m:funcPr>
                    <m:fName>
                      <m:r>
                        <m:rPr/>
                        <w:rPr>
                          <w:rFonts w:hint="default" w:ascii="Cambria Math" w:hAnsi="Cambria Math" w:cs="Times New Roman"/>
                          <w:color w:val="auto"/>
                          <w:lang w:val="en-US"/>
                        </w:rPr>
                        <m:t>sin</m:t>
                      </m:r>
                      <m:ctrlPr>
                        <w:rPr>
                          <w:rFonts w:hint="default" w:ascii="Cambria Math" w:hAnsi="Cambria Math" w:cs="Times New Roman"/>
                          <w:i/>
                          <w:color w:val="auto"/>
                          <w:lang w:val="en-US"/>
                        </w:rPr>
                      </m:ctrlPr>
                    </m:fName>
                    <m:e>
                      <m:d>
                        <m:dPr>
                          <m:ctrlPr>
                            <w:rPr>
                              <w:rFonts w:hint="default" w:ascii="Cambria Math" w:hAnsi="Cambria Math" w:cs="Times New Roman"/>
                              <w:i/>
                              <w:color w:val="auto"/>
                              <w:lang w:val="en-US"/>
                            </w:rPr>
                          </m:ctrlPr>
                        </m:dPr>
                        <m:e>
                          <m:r>
                            <m:rPr/>
                            <w:rPr>
                              <w:rFonts w:hint="default" w:ascii="Cambria Math" w:hAnsi="Cambria Math" w:cs="Times New Roman"/>
                              <w:color w:val="auto"/>
                              <w:lang w:val="en-US"/>
                            </w:rPr>
                            <m:t>θ+90</m:t>
                          </m:r>
                          <m:ctrlPr>
                            <w:rPr>
                              <w:rFonts w:hint="default" w:ascii="Cambria Math" w:hAnsi="Cambria Math" w:cs="Times New Roman"/>
                              <w:i/>
                              <w:color w:val="auto"/>
                              <w:lang w:val="en-US"/>
                            </w:rPr>
                          </m:ctrlPr>
                        </m:e>
                      </m:d>
                      <m:ctrlPr>
                        <w:rPr>
                          <w:rFonts w:hint="default" w:ascii="Cambria Math" w:hAnsi="Cambria Math" w:cs="Times New Roman"/>
                          <w:i/>
                          <w:color w:val="auto"/>
                          <w:lang w:val="en-US"/>
                        </w:rPr>
                      </m:ctrlPr>
                    </m:e>
                  </m:func>
                  <m:ctrlPr>
                    <w:rPr>
                      <w:rFonts w:hint="default" w:ascii="Cambria Math" w:hAnsi="Cambria Math" w:cs="Times New Roman"/>
                      <w:i/>
                      <w:color w:val="auto"/>
                      <w:lang w:val="en-US"/>
                    </w:rPr>
                  </m:ctrlPr>
                </m:e>
              </m:d>
              <m:ctrlPr>
                <w:rPr>
                  <w:rFonts w:hint="default" w:ascii="Cambria Math" w:hAnsi="Cambria Math" w:cs="Times New Roman"/>
                  <w:i/>
                  <w:color w:val="auto"/>
                  <w:lang w:val="en-US"/>
                </w:rPr>
              </m:ctrlPr>
            </m:e>
          </m:func>
        </m:oMath>
      </m:oMathPara>
    </w:p>
    <w:p w14:paraId="0C0D6576">
      <w:pPr>
        <w:pStyle w:val="76"/>
        <w:rPr>
          <w:rFonts w:hint="default" w:ascii="Times New Roman" w:hAnsi="Times New Roman" w:cs="Times New Roman"/>
          <w:color w:val="auto"/>
        </w:rPr>
      </w:pPr>
      <w:r>
        <w:rPr>
          <w:rFonts w:hint="default" w:ascii="Times New Roman" w:hAnsi="Times New Roman" w:cs="Times New Roman"/>
          <w:color w:val="auto"/>
        </w:rPr>
        <w:sym w:font="Symbol" w:char="F071"/>
      </w:r>
      <w:r>
        <w:rPr>
          <w:rFonts w:hint="default" w:ascii="Times New Roman" w:hAnsi="Times New Roman" w:cs="Times New Roman"/>
          <w:color w:val="auto"/>
        </w:rPr>
        <w:tab/>
      </w:r>
      <w:r>
        <w:rPr>
          <w:rFonts w:hint="default" w:ascii="Times New Roman" w:hAnsi="Times New Roman" w:cs="Times New Roman"/>
          <w:color w:val="auto"/>
        </w:rPr>
        <w:t>The angle in the reference coordinate system defined in sub-clause 4.14 between the projection of the x/y plane and the radiation vector defined between -90° and 90°. 0° represents the direction perpendicular to the y/z plane. The angle is aligned with the down-tilt angle.</w:t>
      </w:r>
    </w:p>
    <w:p w14:paraId="342F7B91">
      <w:pPr>
        <w:pStyle w:val="76"/>
        <w:rPr>
          <w:rFonts w:hint="default" w:ascii="Times New Roman" w:hAnsi="Times New Roman" w:cs="Times New Roman"/>
          <w:color w:val="auto"/>
        </w:rPr>
      </w:pPr>
      <w:r>
        <w:rPr>
          <w:rFonts w:hint="default" w:ascii="Times New Roman" w:hAnsi="Times New Roman" w:cs="Times New Roman"/>
          <w:color w:val="auto"/>
        </w:rPr>
        <w:sym w:font="Symbol" w:char="F071"/>
      </w:r>
      <w:r>
        <w:rPr>
          <w:rFonts w:hint="default" w:ascii="Times New Roman" w:hAnsi="Times New Roman" w:cs="Times New Roman"/>
          <w:color w:val="auto"/>
          <w:vertAlign w:val="subscript"/>
        </w:rPr>
        <w:t>H</w:t>
      </w:r>
      <w:r>
        <w:rPr>
          <w:rFonts w:hint="default" w:ascii="Times New Roman" w:hAnsi="Times New Roman" w:cs="Times New Roman"/>
          <w:color w:val="auto"/>
        </w:rPr>
        <w:tab/>
      </w:r>
      <w:r>
        <w:rPr>
          <w:rFonts w:hint="default" w:ascii="Times New Roman" w:hAnsi="Times New Roman" w:cs="Times New Roman"/>
          <w:color w:val="auto"/>
        </w:rPr>
        <w:t>The angle with respect to the horizon defined between +90° and -90°, above the horizon is positive below the horizon is negative. Note the orientation is opposite to </w:t>
      </w:r>
    </w:p>
    <w:p w14:paraId="66E4D1C9">
      <w:pPr>
        <w:pStyle w:val="76"/>
        <w:rPr>
          <w:rFonts w:hint="default" w:ascii="Times New Roman" w:hAnsi="Times New Roman" w:cs="Times New Roman"/>
          <w:color w:val="auto"/>
          <w:lang w:eastAsia="zh-CN"/>
        </w:rPr>
      </w:pPr>
      <w:r>
        <w:rPr>
          <w:rFonts w:hint="default" w:ascii="Times New Roman" w:hAnsi="Times New Roman" w:cs="Times New Roman"/>
          <w:color w:val="auto"/>
        </w:rPr>
        <w:sym w:font="Symbol" w:char="F071"/>
      </w:r>
      <w:r>
        <w:rPr>
          <w:rFonts w:hint="default" w:ascii="Times New Roman" w:hAnsi="Times New Roman" w:cs="Times New Roman"/>
          <w:color w:val="auto"/>
          <w:vertAlign w:val="subscript"/>
        </w:rPr>
        <w:t>MT</w:t>
      </w:r>
      <w:r>
        <w:rPr>
          <w:rFonts w:hint="default" w:ascii="Times New Roman" w:hAnsi="Times New Roman" w:cs="Times New Roman"/>
          <w:color w:val="auto"/>
        </w:rPr>
        <w:tab/>
      </w:r>
      <w:r>
        <w:rPr>
          <w:rFonts w:hint="default" w:ascii="Times New Roman" w:hAnsi="Times New Roman" w:cs="Times New Roman"/>
          <w:color w:val="auto"/>
        </w:rPr>
        <w:t>The down-tilt angle representing the mechanical tilt defined between -90° and +90° (positive towards the ground).</w:t>
      </w:r>
    </w:p>
    <w:p w14:paraId="66FB5456">
      <w:pPr>
        <w:pStyle w:val="76"/>
        <w:rPr>
          <w:rFonts w:hint="default" w:ascii="Times New Roman" w:hAnsi="Times New Roman" w:cs="Times New Roman"/>
          <w:color w:val="auto"/>
        </w:rPr>
      </w:pPr>
      <w:r>
        <w:rPr>
          <w:rFonts w:hint="default" w:ascii="Times New Roman" w:hAnsi="Times New Roman" w:cs="Times New Roman"/>
          <w:color w:val="auto"/>
        </w:rPr>
        <w:sym w:font="Symbol" w:char="F066"/>
      </w:r>
      <w:r>
        <w:rPr>
          <w:rFonts w:hint="default" w:ascii="Times New Roman" w:hAnsi="Times New Roman" w:cs="Times New Roman"/>
          <w:color w:val="auto"/>
        </w:rPr>
        <w:tab/>
      </w:r>
      <w:r>
        <w:rPr>
          <w:rFonts w:hint="default" w:ascii="Times New Roman" w:hAnsi="Times New Roman" w:cs="Times New Roman"/>
          <w:color w:val="auto"/>
        </w:rPr>
        <w:t>The angle in the reference coordinate system defined in sub-clause 4.14 between the x-axis and the projection of the radiation vector onto the x/y plane defined between -180° and 180°.</w:t>
      </w:r>
    </w:p>
    <w:p w14:paraId="71E896AA">
      <w:pPr>
        <w:pStyle w:val="76"/>
        <w:rPr>
          <w:rFonts w:hint="default" w:ascii="Times New Roman" w:hAnsi="Times New Roman" w:cs="Times New Roman"/>
          <w:color w:val="auto"/>
        </w:rPr>
      </w:pPr>
      <m:oMath>
        <m:sSub>
          <m:sSubPr>
            <m:ctrlPr>
              <w:rPr>
                <w:rFonts w:hint="default" w:ascii="Cambria Math" w:hAnsi="Cambria Math" w:cs="Times New Roman"/>
                <w:i/>
                <w:color w:val="auto"/>
              </w:rPr>
            </m:ctrlPr>
          </m:sSubPr>
          <m:e>
            <m:r>
              <m:rPr/>
              <w:rPr>
                <w:rFonts w:hint="default" w:ascii="Cambria Math" w:hAnsi="Cambria Math" w:cs="Times New Roman"/>
                <w:color w:val="auto"/>
              </w:rPr>
              <m:t>φ</m:t>
            </m:r>
            <m:ctrlPr>
              <w:rPr>
                <w:rFonts w:hint="default" w:ascii="Cambria Math" w:hAnsi="Cambria Math" w:cs="Times New Roman"/>
                <w:i/>
                <w:color w:val="auto"/>
              </w:rPr>
            </m:ctrlPr>
          </m:e>
          <m:sub>
            <m:r>
              <m:rPr/>
              <w:rPr>
                <w:rFonts w:hint="default" w:ascii="Cambria Math" w:hAnsi="Cambria Math" w:cs="Times New Roman"/>
                <w:color w:val="auto"/>
              </w:rPr>
              <m:t>H</m:t>
            </m:r>
            <m:ctrlPr>
              <w:rPr>
                <w:rFonts w:hint="default" w:ascii="Cambria Math" w:hAnsi="Cambria Math" w:cs="Times New Roman"/>
                <w:i/>
                <w:color w:val="auto"/>
              </w:rPr>
            </m:ctrlPr>
          </m:sub>
        </m:sSub>
      </m:oMath>
      <w:r>
        <w:rPr>
          <w:rFonts w:hint="default" w:ascii="Times New Roman" w:hAnsi="Times New Roman" w:cs="Times New Roman"/>
          <w:color w:val="auto"/>
        </w:rPr>
        <w:tab/>
      </w:r>
      <w:r>
        <w:rPr>
          <w:rFonts w:hint="default" w:ascii="Times New Roman" w:hAnsi="Times New Roman" w:cs="Times New Roman"/>
          <w:color w:val="auto"/>
        </w:rPr>
        <w:t>The horizontal angle in the global coordinate system, defined with respect to the horizon.</w:t>
      </w:r>
    </w:p>
    <w:p w14:paraId="38D1E423">
      <w:pPr>
        <w:rPr>
          <w:rFonts w:hint="eastAsia"/>
          <w:lang w:val="en-US" w:eastAsia="zh-CN"/>
        </w:rPr>
      </w:pPr>
    </w:p>
    <w:p w14:paraId="46711F65">
      <w:pPr>
        <w:pageBreakBefore w:val="0"/>
        <w:kinsoku/>
        <w:wordWrap/>
        <w:topLinePunct w:val="0"/>
        <w:bidi w:val="0"/>
        <w:snapToGrid/>
        <w:outlineLvl w:val="9"/>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Perf part for </w:t>
      </w:r>
      <w:r>
        <w:rPr>
          <w:rFonts w:hint="eastAsia" w:cs="Times New Roman"/>
          <w:b/>
          <w:bCs/>
          <w:lang w:val="en-US" w:eastAsia="zh-CN"/>
        </w:rPr>
        <w:t>Test scope simplification and TRP simplification</w:t>
      </w:r>
      <w:r>
        <w:rPr>
          <w:rFonts w:hint="eastAsia" w:ascii="Times New Roman" w:hAnsi="Times New Roman" w:cs="Times New Roman"/>
          <w:b/>
          <w:bCs/>
          <w:lang w:val="en-US" w:eastAsia="zh-CN"/>
        </w:rPr>
        <w:t>:</w:t>
      </w:r>
    </w:p>
    <w:p w14:paraId="25087B04">
      <w:pPr>
        <w:rPr>
          <w:rFonts w:hint="default" w:ascii="Times New Roman" w:hAnsi="Times New Roman" w:cs="Times New Roman"/>
          <w:b/>
          <w:bCs/>
          <w:iCs/>
          <w:color w:val="auto"/>
          <w:highlight w:val="none"/>
          <w:lang w:val="en-US" w:eastAsia="zh-CN"/>
        </w:rPr>
      </w:pPr>
      <w:r>
        <w:rPr>
          <w:rFonts w:hint="default" w:ascii="Times New Roman" w:hAnsi="Times New Roman" w:cs="Times New Roman"/>
          <w:b/>
          <w:bCs/>
          <w:iCs/>
          <w:color w:val="auto"/>
          <w:highlight w:val="none"/>
          <w:lang w:val="en-US" w:eastAsia="zh-CN"/>
        </w:rPr>
        <w:t>Issue 1-1-1: test scope reduction for OBUE</w:t>
      </w:r>
    </w:p>
    <w:p w14:paraId="159EE558">
      <w:pPr>
        <w:pStyle w:val="134"/>
        <w:numPr>
          <w:ilvl w:val="0"/>
          <w:numId w:val="14"/>
        </w:numPr>
        <w:overflowPunct/>
        <w:autoSpaceDE/>
        <w:autoSpaceDN/>
        <w:adjustRightInd/>
        <w:spacing w:after="120"/>
        <w:ind w:left="720"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szCs w:val="24"/>
          <w:highlight w:val="none"/>
          <w:lang w:val="en-US" w:eastAsia="zh-CN"/>
        </w:rPr>
        <w:t xml:space="preserve">Agreement: </w:t>
      </w:r>
    </w:p>
    <w:p w14:paraId="34BE291D">
      <w:pPr>
        <w:pStyle w:val="134"/>
        <w:numPr>
          <w:ilvl w:val="1"/>
          <w:numId w:val="14"/>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Further discuss how to reduce the test simplification for OBUE limits.</w:t>
      </w:r>
    </w:p>
    <w:p w14:paraId="4AE53BA3">
      <w:pPr>
        <w:pStyle w:val="134"/>
        <w:numPr>
          <w:ilvl w:val="2"/>
          <w:numId w:val="14"/>
        </w:numPr>
        <w:overflowPunct/>
        <w:autoSpaceDE/>
        <w:autoSpaceDN/>
        <w:adjustRightInd/>
        <w:spacing w:after="120"/>
        <w:ind w:left="1860" w:leftChars="0" w:firstLineChars="0"/>
        <w:textAlignment w:val="auto"/>
        <w:rPr>
          <w:rFonts w:hint="default" w:ascii="Times New Roman" w:hAnsi="Times New Roman" w:eastAsia="宋体" w:cs="Times New Roman"/>
          <w:color w:val="auto"/>
          <w:szCs w:val="24"/>
          <w:highlight w:val="none"/>
          <w:lang w:val="en-US" w:eastAsia="zh-CN"/>
        </w:rPr>
      </w:pPr>
      <w:r>
        <w:rPr>
          <w:rFonts w:hint="default" w:ascii="Times New Roman" w:hAnsi="Times New Roman" w:cs="Times New Roman"/>
          <w:iCs/>
          <w:color w:val="auto"/>
          <w:highlight w:val="none"/>
          <w:lang w:val="en-US" w:eastAsia="zh-CN"/>
        </w:rPr>
        <w:t xml:space="preserve">Option 1: </w:t>
      </w:r>
      <w:r>
        <w:rPr>
          <w:rFonts w:hint="default" w:ascii="Times New Roman" w:hAnsi="Times New Roman" w:eastAsia="宋体" w:cs="Times New Roman"/>
          <w:color w:val="auto"/>
          <w:szCs w:val="24"/>
          <w:highlight w:val="none"/>
          <w:lang w:val="en-US" w:eastAsia="zh-CN"/>
        </w:rPr>
        <w:t xml:space="preserve">1xCBW offset </w:t>
      </w:r>
    </w:p>
    <w:p w14:paraId="28FF5B93">
      <w:pPr>
        <w:pStyle w:val="134"/>
        <w:numPr>
          <w:ilvl w:val="2"/>
          <w:numId w:val="14"/>
        </w:numPr>
        <w:overflowPunct/>
        <w:autoSpaceDE/>
        <w:autoSpaceDN/>
        <w:adjustRightInd/>
        <w:spacing w:after="120"/>
        <w:ind w:left="1860" w:leftChars="0" w:firstLineChars="0"/>
        <w:textAlignment w:val="auto"/>
        <w:rPr>
          <w:rFonts w:hint="default" w:ascii="Times New Roman" w:hAnsi="Times New Roman" w:eastAsia="宋体" w:cs="Times New Roman"/>
          <w:color w:val="auto"/>
          <w:szCs w:val="24"/>
          <w:highlight w:val="none"/>
          <w:lang w:val="en-US" w:eastAsia="zh-CN"/>
        </w:rPr>
      </w:pPr>
      <w:r>
        <w:rPr>
          <w:rFonts w:hint="default" w:ascii="Times New Roman" w:hAnsi="Times New Roman" w:eastAsia="宋体" w:cs="Times New Roman"/>
          <w:color w:val="auto"/>
          <w:szCs w:val="24"/>
          <w:highlight w:val="none"/>
          <w:lang w:val="en-US" w:eastAsia="zh-CN"/>
        </w:rPr>
        <w:t xml:space="preserve">Option 2: 3xCBW offset </w:t>
      </w:r>
    </w:p>
    <w:p w14:paraId="0D7134F7">
      <w:pPr>
        <w:pStyle w:val="134"/>
        <w:numPr>
          <w:ilvl w:val="2"/>
          <w:numId w:val="14"/>
        </w:numPr>
        <w:overflowPunct/>
        <w:autoSpaceDE/>
        <w:autoSpaceDN/>
        <w:adjustRightInd/>
        <w:spacing w:after="120"/>
        <w:ind w:left="1860" w:leftChars="0" w:firstLineChars="0"/>
        <w:textAlignment w:val="auto"/>
        <w:rPr>
          <w:rFonts w:hint="default" w:ascii="Times New Roman" w:hAnsi="Times New Roman" w:eastAsia="宋体" w:cs="Times New Roman"/>
          <w:color w:val="auto"/>
          <w:szCs w:val="24"/>
          <w:highlight w:val="none"/>
          <w:lang w:val="en-US" w:eastAsia="zh-CN"/>
        </w:rPr>
      </w:pPr>
      <w:r>
        <w:rPr>
          <w:rFonts w:hint="default" w:ascii="Times New Roman" w:hAnsi="Times New Roman" w:cs="Times New Roman"/>
          <w:iCs/>
          <w:color w:val="auto"/>
          <w:highlight w:val="none"/>
          <w:lang w:val="en-US" w:eastAsia="zh-CN"/>
        </w:rPr>
        <w:t xml:space="preserve">Option 3: </w:t>
      </w:r>
      <w:r>
        <w:rPr>
          <w:rFonts w:hint="default" w:ascii="Times New Roman" w:hAnsi="Times New Roman" w:eastAsia="宋体" w:cs="Times New Roman"/>
          <w:color w:val="auto"/>
          <w:szCs w:val="24"/>
          <w:highlight w:val="none"/>
          <w:lang w:val="en-US" w:eastAsia="zh-CN"/>
        </w:rPr>
        <w:t>3xCBW offset if 3rd interfering signal is falling within the range of FDL_low to FDL_high of the operating bands and 1xCBW and 2xCBW if 3rd interfering signal is falling higher than FDL_high+ Δf</w:t>
      </w:r>
      <w:r>
        <w:rPr>
          <w:rFonts w:hint="default" w:ascii="Times New Roman" w:hAnsi="Times New Roman" w:eastAsia="宋体" w:cs="Times New Roman"/>
          <w:color w:val="auto"/>
          <w:szCs w:val="24"/>
          <w:highlight w:val="none"/>
          <w:vertAlign w:val="subscript"/>
          <w:lang w:val="en-US" w:eastAsia="zh-CN"/>
        </w:rPr>
        <w:t>OBUE</w:t>
      </w:r>
      <w:r>
        <w:rPr>
          <w:rFonts w:hint="default" w:ascii="Times New Roman" w:hAnsi="Times New Roman" w:eastAsia="宋体" w:cs="Times New Roman"/>
          <w:color w:val="auto"/>
          <w:szCs w:val="24"/>
          <w:highlight w:val="none"/>
          <w:lang w:val="en-US" w:eastAsia="zh-CN"/>
        </w:rPr>
        <w:t xml:space="preserve"> or lower than FDL_low-Δf</w:t>
      </w:r>
      <w:r>
        <w:rPr>
          <w:rFonts w:hint="default" w:ascii="Times New Roman" w:hAnsi="Times New Roman" w:eastAsia="宋体" w:cs="Times New Roman"/>
          <w:color w:val="auto"/>
          <w:szCs w:val="24"/>
          <w:highlight w:val="none"/>
          <w:vertAlign w:val="subscript"/>
          <w:lang w:val="en-US" w:eastAsia="zh-CN"/>
        </w:rPr>
        <w:t>OBUE</w:t>
      </w:r>
      <w:r>
        <w:rPr>
          <w:rFonts w:hint="default" w:ascii="Times New Roman" w:hAnsi="Times New Roman" w:eastAsia="宋体" w:cs="Times New Roman"/>
          <w:color w:val="auto"/>
          <w:szCs w:val="24"/>
          <w:highlight w:val="none"/>
          <w:lang w:val="en-US" w:eastAsia="zh-CN"/>
        </w:rPr>
        <w:t xml:space="preserve"> </w:t>
      </w:r>
    </w:p>
    <w:p w14:paraId="445DD0F6">
      <w:pPr>
        <w:pStyle w:val="134"/>
        <w:overflowPunct/>
        <w:autoSpaceDE/>
        <w:autoSpaceDN/>
        <w:adjustRightInd/>
        <w:spacing w:after="120"/>
        <w:ind w:left="660" w:firstLine="0" w:firstLineChars="0"/>
        <w:textAlignment w:val="auto"/>
        <w:rPr>
          <w:rFonts w:hint="default" w:ascii="Times New Roman" w:hAnsi="Times New Roman" w:cs="Times New Roman"/>
          <w:iCs/>
          <w:color w:val="auto"/>
          <w:lang w:val="en-US" w:eastAsia="zh-CN"/>
        </w:rPr>
      </w:pPr>
    </w:p>
    <w:p w14:paraId="50BB6E31">
      <w:pPr>
        <w:rPr>
          <w:rFonts w:hint="default" w:ascii="Times New Roman" w:hAnsi="Times New Roman" w:cs="Times New Roman"/>
          <w:iCs/>
          <w:color w:val="auto"/>
          <w:highlight w:val="none"/>
          <w:lang w:val="en-US" w:eastAsia="zh-CN"/>
        </w:rPr>
      </w:pPr>
      <w:r>
        <w:rPr>
          <w:rFonts w:hint="default" w:ascii="Times New Roman" w:hAnsi="Times New Roman" w:cs="Times New Roman"/>
          <w:b/>
          <w:bCs/>
          <w:iCs/>
          <w:color w:val="auto"/>
          <w:highlight w:val="none"/>
          <w:lang w:val="en-US" w:eastAsia="zh-CN"/>
        </w:rPr>
        <w:t>Issue 1-1-2: test scope reduction for spurious emission</w:t>
      </w:r>
    </w:p>
    <w:p w14:paraId="0039F8D9">
      <w:pPr>
        <w:pStyle w:val="134"/>
        <w:numPr>
          <w:ilvl w:val="0"/>
          <w:numId w:val="14"/>
        </w:numPr>
        <w:overflowPunct/>
        <w:autoSpaceDE/>
        <w:autoSpaceDN/>
        <w:adjustRightInd/>
        <w:spacing w:after="120"/>
        <w:ind w:left="720" w:firstLineChars="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szCs w:val="24"/>
          <w:lang w:val="en-US" w:eastAsia="zh-CN"/>
        </w:rPr>
        <w:t xml:space="preserve"> Agreement: </w:t>
      </w:r>
    </w:p>
    <w:p w14:paraId="34761B50">
      <w:pPr>
        <w:pStyle w:val="134"/>
        <w:numPr>
          <w:ilvl w:val="2"/>
          <w:numId w:val="14"/>
        </w:numPr>
        <w:overflowPunct/>
        <w:autoSpaceDE/>
        <w:autoSpaceDN/>
        <w:adjustRightInd/>
        <w:spacing w:after="120"/>
        <w:ind w:left="1860" w:leftChars="0" w:firstLineChars="0"/>
        <w:textAlignment w:val="auto"/>
        <w:rPr>
          <w:rFonts w:hint="default" w:ascii="Times New Roman" w:hAnsi="Times New Roman" w:cs="Times New Roman"/>
          <w:b/>
          <w:bCs/>
          <w:iCs/>
          <w:color w:val="auto"/>
          <w:lang w:val="en-US" w:eastAsia="zh-CN"/>
        </w:rPr>
      </w:pPr>
      <w:r>
        <w:rPr>
          <w:rFonts w:hint="default" w:ascii="Times New Roman" w:hAnsi="Times New Roman" w:eastAsia="宋体" w:cs="Times New Roman"/>
          <w:color w:val="auto"/>
          <w:szCs w:val="24"/>
          <w:highlight w:val="none"/>
          <w:lang w:val="en-US" w:eastAsia="zh-CN"/>
        </w:rPr>
        <w:t>Option 1: 3xCBW offset</w:t>
      </w:r>
    </w:p>
    <w:p w14:paraId="3E0B61D2">
      <w:pPr>
        <w:pStyle w:val="134"/>
        <w:numPr>
          <w:ilvl w:val="0"/>
          <w:numId w:val="0"/>
        </w:numPr>
        <w:overflowPunct/>
        <w:autoSpaceDE/>
        <w:autoSpaceDN/>
        <w:adjustRightInd/>
        <w:spacing w:after="120"/>
        <w:ind w:left="1500" w:leftChars="0"/>
        <w:textAlignment w:val="auto"/>
        <w:rPr>
          <w:rFonts w:hint="default" w:ascii="Times New Roman" w:hAnsi="Times New Roman" w:eastAsia="宋体" w:cs="Times New Roman"/>
          <w:color w:val="auto"/>
          <w:szCs w:val="24"/>
          <w:highlight w:val="none"/>
          <w:lang w:val="en-US" w:eastAsia="zh-CN"/>
        </w:rPr>
      </w:pPr>
    </w:p>
    <w:p w14:paraId="7E1BA9CE">
      <w:pPr>
        <w:rPr>
          <w:rFonts w:hint="default" w:ascii="Times New Roman" w:hAnsi="Times New Roman" w:cs="Times New Roman"/>
          <w:b/>
          <w:bCs/>
          <w:iCs/>
          <w:color w:val="auto"/>
          <w:lang w:val="en-US" w:eastAsia="zh-CN"/>
        </w:rPr>
      </w:pPr>
      <w:r>
        <w:rPr>
          <w:rFonts w:hint="default" w:ascii="Times New Roman" w:hAnsi="Times New Roman" w:cs="Times New Roman"/>
          <w:b/>
          <w:bCs/>
          <w:iCs/>
          <w:color w:val="auto"/>
          <w:lang w:val="en-US" w:eastAsia="zh-CN"/>
        </w:rPr>
        <w:t>Issue 1-2-1: Out of band blocking</w:t>
      </w:r>
    </w:p>
    <w:p w14:paraId="627D9D12">
      <w:pPr>
        <w:pStyle w:val="134"/>
        <w:numPr>
          <w:ilvl w:val="0"/>
          <w:numId w:val="14"/>
        </w:numPr>
        <w:overflowPunct/>
        <w:autoSpaceDE/>
        <w:autoSpaceDN/>
        <w:adjustRightInd/>
        <w:spacing w:after="120"/>
        <w:ind w:left="720" w:firstLineChars="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szCs w:val="24"/>
          <w:lang w:val="en-US" w:eastAsia="zh-CN"/>
        </w:rPr>
        <w:t xml:space="preserve">Agreement on step size of OOBB requirement for further discussion: </w:t>
      </w:r>
    </w:p>
    <w:p w14:paraId="622A15FB">
      <w:pPr>
        <w:pStyle w:val="134"/>
        <w:numPr>
          <w:ilvl w:val="2"/>
          <w:numId w:val="14"/>
        </w:numPr>
        <w:overflowPunct/>
        <w:autoSpaceDE/>
        <w:autoSpaceDN/>
        <w:adjustRightInd/>
        <w:spacing w:after="120"/>
        <w:ind w:left="1860" w:firstLineChars="0"/>
        <w:textAlignment w:val="auto"/>
        <w:rPr>
          <w:rFonts w:hint="default" w:ascii="Times New Roman" w:hAnsi="Times New Roman" w:cs="Times New Roman"/>
          <w:iCs/>
          <w:color w:val="auto"/>
          <w:lang w:val="en-US" w:eastAsia="zh-CN"/>
        </w:rPr>
      </w:pPr>
      <w:r>
        <w:rPr>
          <w:rFonts w:hint="default" w:ascii="Times New Roman" w:hAnsi="Times New Roman" w:cs="Times New Roman"/>
          <w:iCs/>
          <w:color w:val="auto"/>
          <w:lang w:val="en-US" w:eastAsia="zh-CN"/>
        </w:rPr>
        <w:t xml:space="preserve">Option 1: 1/3 of the minimum supported bandwidth </w:t>
      </w:r>
    </w:p>
    <w:p w14:paraId="1A20F83D">
      <w:pPr>
        <w:pStyle w:val="134"/>
        <w:numPr>
          <w:ilvl w:val="2"/>
          <w:numId w:val="14"/>
        </w:numPr>
        <w:overflowPunct/>
        <w:autoSpaceDE/>
        <w:autoSpaceDN/>
        <w:adjustRightInd/>
        <w:spacing w:after="120"/>
        <w:ind w:left="1860" w:firstLineChars="0"/>
        <w:textAlignment w:val="auto"/>
        <w:rPr>
          <w:rFonts w:hint="default" w:ascii="Times New Roman" w:hAnsi="Times New Roman" w:cs="Times New Roman"/>
          <w:iCs/>
          <w:color w:val="auto"/>
          <w:lang w:val="en-US" w:eastAsia="zh-CN"/>
        </w:rPr>
      </w:pPr>
      <w:r>
        <w:rPr>
          <w:rFonts w:hint="default" w:ascii="Times New Roman" w:hAnsi="Times New Roman" w:cs="Times New Roman"/>
          <w:iCs/>
          <w:color w:val="auto"/>
          <w:lang w:val="en-US" w:eastAsia="zh-CN"/>
        </w:rPr>
        <w:t xml:space="preserve">Option 2: </w:t>
      </w:r>
      <w:r>
        <w:rPr>
          <w:rFonts w:hint="default" w:ascii="Times New Roman" w:hAnsi="Times New Roman" w:cs="Times New Roman"/>
          <w:iCs/>
          <w:color w:val="auto"/>
          <w:highlight w:val="none"/>
          <w:lang w:val="en-US" w:eastAsia="zh-CN"/>
        </w:rPr>
        <w:t xml:space="preserve"> </w:t>
      </w:r>
      <w:r>
        <w:rPr>
          <w:rFonts w:hint="default" w:ascii="Times New Roman" w:hAnsi="Times New Roman" w:eastAsia="宋体" w:cs="Times New Roman"/>
          <w:color w:val="auto"/>
          <w:szCs w:val="24"/>
          <w:highlight w:val="none"/>
          <w:lang w:val="en-US" w:eastAsia="zh-CN"/>
        </w:rPr>
        <w:t>Use 1% of the momentary frequency as the step size for OTA receiver out-of-band blocking testing for frequencies up to 6000 MHz. Use a fixed step size of 60 MHz for frequencies higher than 6000 MHz</w:t>
      </w:r>
    </w:p>
    <w:p w14:paraId="6402C150">
      <w:pPr>
        <w:pStyle w:val="134"/>
        <w:numPr>
          <w:ilvl w:val="2"/>
          <w:numId w:val="14"/>
        </w:numPr>
        <w:overflowPunct/>
        <w:autoSpaceDE/>
        <w:autoSpaceDN/>
        <w:adjustRightInd/>
        <w:spacing w:after="120"/>
        <w:ind w:left="1860" w:firstLineChars="0"/>
        <w:textAlignment w:val="auto"/>
        <w:rPr>
          <w:rFonts w:hint="default" w:ascii="Times New Roman" w:hAnsi="Times New Roman" w:eastAsia="宋体" w:cs="Times New Roman"/>
          <w:color w:val="auto"/>
          <w:szCs w:val="24"/>
          <w:highlight w:val="none"/>
          <w:lang w:val="en-US" w:eastAsia="zh-CN"/>
        </w:rPr>
      </w:pPr>
      <w:r>
        <w:rPr>
          <w:rFonts w:hint="default" w:ascii="Times New Roman" w:hAnsi="Times New Roman" w:eastAsia="宋体" w:cs="Times New Roman"/>
          <w:color w:val="auto"/>
          <w:szCs w:val="24"/>
          <w:highlight w:val="none"/>
          <w:lang w:val="en-US" w:eastAsia="zh-CN"/>
        </w:rPr>
        <w:t xml:space="preserve"> Option 3: mixed EMC and option 1 approach, FFS on the details.</w:t>
      </w:r>
    </w:p>
    <w:p w14:paraId="0A446C59">
      <w:pPr>
        <w:pStyle w:val="134"/>
        <w:numPr>
          <w:ilvl w:val="2"/>
          <w:numId w:val="14"/>
        </w:numPr>
        <w:overflowPunct/>
        <w:autoSpaceDE/>
        <w:autoSpaceDN/>
        <w:adjustRightInd/>
        <w:spacing w:after="120"/>
        <w:ind w:left="1860" w:firstLineChars="0"/>
        <w:textAlignment w:val="auto"/>
        <w:rPr>
          <w:rFonts w:hint="default" w:ascii="Times New Roman" w:hAnsi="Times New Roman" w:eastAsia="宋体" w:cs="Times New Roman"/>
          <w:color w:val="auto"/>
          <w:szCs w:val="24"/>
          <w:highlight w:val="none"/>
          <w:lang w:val="en-US" w:eastAsia="zh-CN"/>
        </w:rPr>
      </w:pPr>
      <w:r>
        <w:rPr>
          <w:rFonts w:hint="default" w:ascii="Times New Roman" w:hAnsi="Times New Roman" w:eastAsia="宋体" w:cs="Times New Roman"/>
          <w:color w:val="auto"/>
          <w:szCs w:val="24"/>
          <w:highlight w:val="none"/>
          <w:lang w:val="en-US" w:eastAsia="zh-CN"/>
        </w:rPr>
        <w:t>Option 4: To use 2/3 of the test signal configuration channel bandwidths</w:t>
      </w:r>
    </w:p>
    <w:p w14:paraId="0C6CE2E0">
      <w:pPr>
        <w:pStyle w:val="134"/>
        <w:numPr>
          <w:ilvl w:val="2"/>
          <w:numId w:val="14"/>
        </w:numPr>
        <w:overflowPunct/>
        <w:autoSpaceDE/>
        <w:autoSpaceDN/>
        <w:adjustRightInd/>
        <w:spacing w:after="120"/>
        <w:ind w:left="1860" w:firstLineChars="0"/>
        <w:textAlignment w:val="auto"/>
        <w:rPr>
          <w:rFonts w:hint="default" w:ascii="Times New Roman" w:hAnsi="Times New Roman" w:eastAsia="宋体" w:cs="Times New Roman"/>
          <w:color w:val="auto"/>
          <w:szCs w:val="24"/>
          <w:highlight w:val="none"/>
          <w:lang w:val="en-US" w:eastAsia="zh-CN"/>
        </w:rPr>
      </w:pPr>
      <w:r>
        <w:rPr>
          <w:rFonts w:hint="default" w:ascii="Times New Roman" w:hAnsi="Times New Roman" w:eastAsia="宋体" w:cs="Times New Roman"/>
          <w:color w:val="auto"/>
          <w:szCs w:val="24"/>
          <w:highlight w:val="none"/>
          <w:lang w:val="en-US" w:eastAsia="zh-CN"/>
        </w:rPr>
        <w:t xml:space="preserve">Option 5: Use 1MHz steps size below 100MHz and 1% of the momentary frequency as the step size for OTA receiver out-of-band blocking testing for frequencies up to 6000 MHz. Use a fixed step size of 60 MHz for frequencies higher than 6000 MHz.  </w:t>
      </w:r>
    </w:p>
    <w:p w14:paraId="45D0BD52">
      <w:pPr>
        <w:pStyle w:val="134"/>
        <w:numPr>
          <w:ilvl w:val="2"/>
          <w:numId w:val="14"/>
        </w:numPr>
        <w:overflowPunct/>
        <w:autoSpaceDE/>
        <w:autoSpaceDN/>
        <w:adjustRightInd/>
        <w:spacing w:after="120"/>
        <w:ind w:left="1860" w:firstLineChars="0"/>
        <w:textAlignment w:val="auto"/>
        <w:rPr>
          <w:rFonts w:hint="default" w:ascii="Times New Roman" w:hAnsi="Times New Roman" w:eastAsia="宋体" w:cs="Times New Roman"/>
          <w:color w:val="auto"/>
          <w:szCs w:val="24"/>
          <w:highlight w:val="none"/>
          <w:lang w:val="en-US" w:eastAsia="zh-CN"/>
        </w:rPr>
      </w:pPr>
      <w:r>
        <w:rPr>
          <w:rFonts w:hint="default" w:ascii="Times New Roman" w:hAnsi="Times New Roman" w:cs="Times New Roman"/>
          <w:iCs/>
          <w:color w:val="auto"/>
          <w:lang w:val="en-US" w:eastAsia="zh-CN"/>
        </w:rPr>
        <w:t>Other options are not precluded</w:t>
      </w:r>
    </w:p>
    <w:p w14:paraId="60A16AD6">
      <w:pPr>
        <w:pStyle w:val="134"/>
        <w:numPr>
          <w:ilvl w:val="0"/>
          <w:numId w:val="0"/>
        </w:numPr>
        <w:overflowPunct/>
        <w:autoSpaceDE/>
        <w:autoSpaceDN/>
        <w:adjustRightInd/>
        <w:spacing w:after="120"/>
        <w:ind w:left="1500" w:leftChars="0"/>
        <w:textAlignment w:val="auto"/>
        <w:rPr>
          <w:rFonts w:hint="default" w:ascii="Times New Roman" w:hAnsi="Times New Roman" w:eastAsia="宋体" w:cs="Times New Roman"/>
          <w:color w:val="auto"/>
          <w:szCs w:val="24"/>
          <w:highlight w:val="none"/>
          <w:lang w:val="en-US" w:eastAsia="zh-CN"/>
        </w:rPr>
      </w:pPr>
    </w:p>
    <w:p w14:paraId="06B1A865">
      <w:pPr>
        <w:rPr>
          <w:rFonts w:hint="default" w:ascii="Times New Roman" w:hAnsi="Times New Roman" w:cs="Times New Roman"/>
          <w:color w:val="auto"/>
          <w:sz w:val="20"/>
          <w:szCs w:val="20"/>
          <w:highlight w:val="none"/>
          <w:lang w:val="en-US"/>
        </w:rPr>
      </w:pPr>
      <w:r>
        <w:rPr>
          <w:rFonts w:hint="default" w:ascii="Times New Roman" w:hAnsi="Times New Roman" w:cs="Times New Roman"/>
          <w:b/>
          <w:bCs/>
          <w:iCs/>
          <w:color w:val="auto"/>
          <w:highlight w:val="none"/>
          <w:lang w:val="en-US" w:eastAsia="zh-CN"/>
        </w:rPr>
        <w:t xml:space="preserve">Issue 2-2: Reference method and preferred method </w:t>
      </w:r>
    </w:p>
    <w:p w14:paraId="77324732">
      <w:pPr>
        <w:pStyle w:val="134"/>
        <w:numPr>
          <w:ilvl w:val="0"/>
          <w:numId w:val="14"/>
        </w:numPr>
        <w:overflowPunct/>
        <w:autoSpaceDE/>
        <w:autoSpaceDN/>
        <w:adjustRightInd/>
        <w:spacing w:after="120"/>
        <w:ind w:left="720" w:firstLineChars="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szCs w:val="24"/>
          <w:lang w:val="en-US" w:eastAsia="zh-CN"/>
        </w:rPr>
        <w:t xml:space="preserve"> Agreement: </w:t>
      </w:r>
    </w:p>
    <w:p w14:paraId="5E54AC94">
      <w:pPr>
        <w:pStyle w:val="134"/>
        <w:numPr>
          <w:ilvl w:val="2"/>
          <w:numId w:val="14"/>
        </w:numPr>
        <w:overflowPunct/>
        <w:autoSpaceDE/>
        <w:autoSpaceDN/>
        <w:adjustRightInd/>
        <w:spacing w:after="120"/>
        <w:ind w:left="1860" w:firstLineChars="0"/>
        <w:textAlignment w:val="auto"/>
        <w:rPr>
          <w:rFonts w:hint="default" w:ascii="Times New Roman" w:hAnsi="Times New Roman" w:cs="Times New Roman"/>
          <w:iCs/>
          <w:color w:val="auto"/>
          <w:lang w:val="en-US" w:eastAsia="zh-CN"/>
        </w:rPr>
      </w:pPr>
      <w:r>
        <w:rPr>
          <w:rFonts w:hint="default" w:ascii="Times New Roman" w:hAnsi="Times New Roman" w:cs="Times New Roman"/>
          <w:iCs/>
          <w:color w:val="auto"/>
          <w:lang w:val="en-US" w:eastAsia="zh-CN"/>
        </w:rPr>
        <w:t>Further discuss TRP estimation simplifications and the applicability improvements on TRP sampling grid</w:t>
      </w:r>
    </w:p>
    <w:p w14:paraId="34AC2B67">
      <w:pPr>
        <w:pStyle w:val="134"/>
        <w:numPr>
          <w:ilvl w:val="2"/>
          <w:numId w:val="14"/>
        </w:numPr>
        <w:overflowPunct/>
        <w:autoSpaceDE/>
        <w:autoSpaceDN/>
        <w:adjustRightInd/>
        <w:spacing w:after="120"/>
        <w:ind w:left="1860" w:firstLineChars="0"/>
        <w:textAlignment w:val="auto"/>
        <w:rPr>
          <w:rFonts w:hint="default" w:ascii="Times New Roman" w:hAnsi="Times New Roman" w:cs="Times New Roman"/>
          <w:iCs/>
          <w:color w:val="auto"/>
          <w:lang w:val="en-US" w:eastAsia="zh-CN"/>
        </w:rPr>
      </w:pPr>
      <w:r>
        <w:rPr>
          <w:rFonts w:hint="default" w:ascii="Times New Roman" w:hAnsi="Times New Roman" w:cs="Times New Roman"/>
          <w:iCs/>
          <w:color w:val="auto"/>
          <w:lang w:val="en-US" w:eastAsia="zh-CN"/>
        </w:rPr>
        <w:t>FFS on how to incorporate the OTA chamber related issues into the discussion on the reference test method.</w:t>
      </w:r>
    </w:p>
    <w:p w14:paraId="33243324">
      <w:pPr>
        <w:rPr>
          <w:rFonts w:hint="eastAsia"/>
          <w:lang w:val="en-US" w:eastAsia="zh-CN"/>
        </w:rPr>
      </w:pPr>
    </w:p>
    <w:p w14:paraId="310D7811">
      <w:pPr>
        <w:pStyle w:val="4"/>
        <w:rPr>
          <w:lang w:eastAsia="ja-JP"/>
        </w:rPr>
      </w:pPr>
      <w:r>
        <w:rPr>
          <w:lang w:eastAsia="ja-JP"/>
        </w:rPr>
        <w:t>2.4.2</w:t>
      </w:r>
      <w:r>
        <w:rPr>
          <w:lang w:eastAsia="ja-JP"/>
        </w:rPr>
        <w:tab/>
      </w:r>
      <w:r>
        <w:rPr>
          <w:lang w:eastAsia="ja-JP"/>
        </w:rPr>
        <w:t>Remaining Open issues</w:t>
      </w:r>
    </w:p>
    <w:p w14:paraId="32198030">
      <w:pPr>
        <w:keepNext/>
        <w:keepLines/>
        <w:rPr>
          <w:rFonts w:eastAsia="宋体"/>
          <w:kern w:val="2"/>
          <w:sz w:val="21"/>
          <w:szCs w:val="22"/>
          <w:lang w:val="en-US" w:eastAsia="zh-CN"/>
        </w:rPr>
      </w:pPr>
      <w:r>
        <w:rPr>
          <w:rFonts w:hint="eastAsia" w:eastAsia="宋体"/>
          <w:b/>
          <w:bCs/>
          <w:kern w:val="2"/>
          <w:sz w:val="21"/>
          <w:szCs w:val="22"/>
          <w:lang w:val="en-US" w:eastAsia="zh-CN"/>
        </w:rPr>
        <w:t>Core part:  Open issues for co-location reference antenna</w:t>
      </w:r>
    </w:p>
    <w:p w14:paraId="0CDB155D">
      <w:pPr>
        <w:keepNext/>
        <w:keepLines/>
        <w:pageBreakBefore w:val="0"/>
        <w:widowControl/>
        <w:kinsoku/>
        <w:wordWrap/>
        <w:overflowPunct w:val="0"/>
        <w:topLinePunct w:val="0"/>
        <w:autoSpaceDE w:val="0"/>
        <w:autoSpaceDN w:val="0"/>
        <w:bidi w:val="0"/>
        <w:adjustRightInd w:val="0"/>
        <w:snapToGrid/>
        <w:ind w:left="1134" w:hanging="1134"/>
        <w:textAlignment w:val="baseline"/>
        <w:outlineLvl w:val="9"/>
        <w:rPr>
          <w:highlight w:val="yellow"/>
        </w:rPr>
      </w:pPr>
      <w:r>
        <w:t>Sub-topic 1-1: BS-to-BS isolation analysis</w:t>
      </w:r>
    </w:p>
    <w:p w14:paraId="3DB51169">
      <w:pPr>
        <w:numPr>
          <w:ilvl w:val="0"/>
          <w:numId w:val="27"/>
        </w:numPr>
        <w:ind w:left="420" w:leftChars="0" w:hanging="420" w:firstLineChars="0"/>
        <w:rPr>
          <w:rFonts w:hint="eastAsia" w:ascii="Times New Roman" w:hAnsi="Times New Roman" w:eastAsia="Times New Roman" w:cs="Times New Roman"/>
          <w:b w:val="0"/>
          <w:bCs w:val="0"/>
          <w:iCs/>
          <w:color w:val="auto"/>
          <w:lang w:val="en-US" w:eastAsia="zh-CN"/>
        </w:rPr>
      </w:pPr>
      <w:r>
        <w:rPr>
          <w:rFonts w:hint="eastAsia" w:ascii="Times New Roman" w:hAnsi="Times New Roman" w:eastAsia="Times New Roman" w:cs="Times New Roman"/>
          <w:b w:val="0"/>
          <w:bCs w:val="0"/>
          <w:iCs/>
          <w:color w:val="auto"/>
          <w:lang w:val="en-US" w:eastAsia="zh-CN"/>
        </w:rPr>
        <w:t xml:space="preserve">Continue the BS-to-BS isolation </w:t>
      </w:r>
      <w:r>
        <w:rPr>
          <w:rFonts w:hint="eastAsia" w:cs="Times New Roman"/>
          <w:b w:val="0"/>
          <w:bCs w:val="0"/>
          <w:iCs/>
          <w:color w:val="auto"/>
          <w:lang w:val="en-US" w:eastAsia="zh-CN"/>
        </w:rPr>
        <w:t>analysis and the core requirement definition according to the consensus reached</w:t>
      </w:r>
    </w:p>
    <w:p w14:paraId="64CCEA6F">
      <w:pPr>
        <w:keepNext/>
        <w:keepLines/>
        <w:pageBreakBefore w:val="0"/>
        <w:widowControl/>
        <w:kinsoku/>
        <w:wordWrap/>
        <w:overflowPunct w:val="0"/>
        <w:topLinePunct w:val="0"/>
        <w:autoSpaceDE w:val="0"/>
        <w:autoSpaceDN w:val="0"/>
        <w:bidi w:val="0"/>
        <w:adjustRightInd w:val="0"/>
        <w:snapToGrid/>
        <w:ind w:left="1134" w:hanging="1134"/>
        <w:textAlignment w:val="baseline"/>
        <w:outlineLvl w:val="9"/>
      </w:pPr>
      <w:r>
        <w:t>Sub-topic 1-6: Horn antenna aspects</w:t>
      </w:r>
    </w:p>
    <w:p w14:paraId="638AB6E4">
      <w:pPr>
        <w:numPr>
          <w:ilvl w:val="0"/>
          <w:numId w:val="27"/>
        </w:numPr>
        <w:ind w:left="420" w:leftChars="0" w:hanging="420" w:firstLineChars="0"/>
        <w:rPr>
          <w:rFonts w:hint="eastAsia" w:ascii="Times New Roman" w:hAnsi="Times New Roman" w:eastAsia="Times New Roman" w:cs="Times New Roman"/>
          <w:b w:val="0"/>
          <w:bCs w:val="0"/>
          <w:iCs/>
          <w:color w:val="auto"/>
          <w:lang w:val="en-US" w:eastAsia="zh-CN"/>
        </w:rPr>
      </w:pPr>
      <w:r>
        <w:rPr>
          <w:rFonts w:hint="eastAsia" w:ascii="Times New Roman" w:hAnsi="Times New Roman" w:eastAsia="Times New Roman" w:cs="Times New Roman"/>
          <w:b w:val="0"/>
          <w:bCs w:val="0"/>
          <w:iCs/>
          <w:color w:val="auto"/>
          <w:lang w:val="en-US" w:eastAsia="zh-CN"/>
        </w:rPr>
        <w:t xml:space="preserve"> Companies </w:t>
      </w:r>
      <w:r>
        <w:rPr>
          <w:rFonts w:hint="eastAsia" w:cs="Times New Roman"/>
          <w:b w:val="0"/>
          <w:bCs w:val="0"/>
          <w:iCs/>
          <w:color w:val="auto"/>
          <w:lang w:val="en-US" w:eastAsia="zh-CN"/>
        </w:rPr>
        <w:t xml:space="preserve">continue to </w:t>
      </w:r>
      <w:r>
        <w:rPr>
          <w:rFonts w:hint="eastAsia" w:ascii="Times New Roman" w:hAnsi="Times New Roman" w:eastAsia="Times New Roman" w:cs="Times New Roman"/>
          <w:b w:val="0"/>
          <w:bCs w:val="0"/>
          <w:iCs/>
          <w:color w:val="auto"/>
          <w:lang w:val="en-US" w:eastAsia="zh-CN"/>
        </w:rPr>
        <w:t xml:space="preserve">investigate </w:t>
      </w:r>
      <w:r>
        <w:rPr>
          <w:rFonts w:hint="eastAsia" w:cs="Times New Roman"/>
          <w:b w:val="0"/>
          <w:bCs w:val="0"/>
          <w:iCs/>
          <w:color w:val="auto"/>
          <w:lang w:val="en-US" w:eastAsia="zh-CN"/>
        </w:rPr>
        <w:t>the horn antenna.</w:t>
      </w:r>
    </w:p>
    <w:p w14:paraId="6118BA85">
      <w:pPr>
        <w:numPr>
          <w:ilvl w:val="0"/>
          <w:numId w:val="0"/>
        </w:numPr>
        <w:ind w:leftChars="0"/>
        <w:rPr>
          <w:rFonts w:hint="eastAsia" w:eastAsia="宋体"/>
          <w:b/>
          <w:bCs/>
          <w:kern w:val="2"/>
          <w:sz w:val="21"/>
          <w:szCs w:val="22"/>
          <w:lang w:val="en-US" w:eastAsia="zh-CN"/>
        </w:rPr>
      </w:pPr>
    </w:p>
    <w:p w14:paraId="1ED50C66">
      <w:pPr>
        <w:keepNext/>
        <w:keepLines/>
        <w:rPr>
          <w:rFonts w:eastAsia="宋体"/>
          <w:b/>
          <w:bCs/>
          <w:kern w:val="2"/>
          <w:sz w:val="21"/>
          <w:szCs w:val="22"/>
          <w:lang w:val="en-US" w:eastAsia="zh-CN"/>
        </w:rPr>
      </w:pPr>
      <w:r>
        <w:rPr>
          <w:rFonts w:hint="eastAsia" w:eastAsia="宋体"/>
          <w:b/>
          <w:bCs/>
          <w:kern w:val="2"/>
          <w:sz w:val="21"/>
          <w:szCs w:val="22"/>
          <w:lang w:val="en-US" w:eastAsia="zh-CN"/>
        </w:rPr>
        <w:t xml:space="preserve">Perf part: Open issues for the reduction of testing scope </w:t>
      </w:r>
    </w:p>
    <w:p w14:paraId="0B30DBBE">
      <w:pPr>
        <w:rPr>
          <w:szCs w:val="24"/>
          <w:lang w:val="en-US" w:eastAsia="zh-CN"/>
        </w:rPr>
      </w:pPr>
      <w:r>
        <w:rPr>
          <w:rFonts w:hint="eastAsia"/>
          <w:b/>
          <w:bCs/>
          <w:iCs/>
          <w:lang w:val="en-US" w:eastAsia="zh-CN"/>
        </w:rPr>
        <w:t>test scope reduction for Tx requirement</w:t>
      </w:r>
    </w:p>
    <w:p w14:paraId="5D93E5C8">
      <w:pPr>
        <w:pStyle w:val="134"/>
        <w:numPr>
          <w:ilvl w:val="1"/>
          <w:numId w:val="14"/>
        </w:numPr>
        <w:overflowPunct/>
        <w:autoSpaceDE/>
        <w:autoSpaceDN/>
        <w:adjustRightInd/>
        <w:spacing w:after="120"/>
        <w:ind w:left="1440" w:firstLineChars="0"/>
        <w:textAlignment w:val="auto"/>
        <w:rPr>
          <w:iCs/>
          <w:lang w:eastAsia="zh-CN"/>
        </w:rPr>
      </w:pPr>
      <w:r>
        <w:rPr>
          <w:rFonts w:hint="default" w:ascii="Times New Roman" w:hAnsi="Times New Roman" w:cs="Times New Roman"/>
          <w:iCs/>
          <w:color w:val="auto"/>
          <w:highlight w:val="none"/>
          <w:lang w:val="en-US" w:eastAsia="zh-CN"/>
        </w:rPr>
        <w:t>Further discuss the applicable interference freq offset for OBUE;</w:t>
      </w:r>
    </w:p>
    <w:p w14:paraId="3E8812D0">
      <w:pPr>
        <w:rPr>
          <w:b/>
          <w:bCs/>
          <w:iCs/>
          <w:lang w:val="en-US" w:eastAsia="zh-CN"/>
        </w:rPr>
      </w:pPr>
      <w:r>
        <w:rPr>
          <w:rFonts w:hint="eastAsia"/>
          <w:b/>
          <w:bCs/>
          <w:iCs/>
          <w:lang w:val="en-US" w:eastAsia="zh-CN"/>
        </w:rPr>
        <w:t>Out of band blocking</w:t>
      </w:r>
    </w:p>
    <w:p w14:paraId="6F8DD94E">
      <w:pPr>
        <w:pStyle w:val="134"/>
        <w:numPr>
          <w:ilvl w:val="1"/>
          <w:numId w:val="14"/>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FFS on the step size for OOBB conformance testing</w:t>
      </w:r>
    </w:p>
    <w:p w14:paraId="22444253">
      <w:pPr>
        <w:keepNext/>
        <w:keepLines/>
        <w:rPr>
          <w:rFonts w:eastAsia="宋体"/>
          <w:b/>
          <w:bCs/>
          <w:kern w:val="2"/>
          <w:sz w:val="21"/>
          <w:szCs w:val="22"/>
          <w:lang w:val="en-US" w:eastAsia="zh-CN"/>
        </w:rPr>
      </w:pPr>
      <w:r>
        <w:rPr>
          <w:rFonts w:hint="eastAsia" w:eastAsia="宋体"/>
          <w:b/>
          <w:bCs/>
          <w:kern w:val="2"/>
          <w:sz w:val="21"/>
          <w:szCs w:val="22"/>
          <w:lang w:val="en-US" w:eastAsia="zh-CN"/>
        </w:rPr>
        <w:t>O</w:t>
      </w:r>
      <w:bookmarkStart w:id="2" w:name="_GoBack"/>
      <w:r>
        <w:rPr>
          <w:rFonts w:hint="eastAsia" w:eastAsia="宋体"/>
          <w:b/>
          <w:bCs/>
          <w:kern w:val="2"/>
          <w:sz w:val="21"/>
          <w:szCs w:val="22"/>
          <w:lang w:val="en-US" w:eastAsia="zh-CN"/>
        </w:rPr>
        <w:t>pen issues for the reduction of simplification BS TRP test methods for FR1 and FR2</w:t>
      </w:r>
    </w:p>
    <w:p w14:paraId="1CD3C4FA">
      <w:pPr>
        <w:pStyle w:val="134"/>
        <w:numPr>
          <w:ilvl w:val="1"/>
          <w:numId w:val="14"/>
        </w:numPr>
        <w:overflowPunct/>
        <w:autoSpaceDE/>
        <w:autoSpaceDN/>
        <w:adjustRightInd/>
        <w:spacing w:after="120"/>
        <w:ind w:left="1440" w:firstLineChars="0"/>
        <w:textAlignment w:val="auto"/>
        <w:rPr>
          <w:iCs/>
          <w:lang w:eastAsia="zh-CN"/>
        </w:rPr>
      </w:pPr>
      <w:r>
        <w:rPr>
          <w:rFonts w:hint="default" w:ascii="Times New Roman" w:hAnsi="Times New Roman" w:cs="Times New Roman"/>
          <w:iCs/>
          <w:color w:val="auto"/>
          <w:highlight w:val="none"/>
          <w:lang w:val="en-US" w:eastAsia="zh-CN"/>
        </w:rPr>
        <w:t xml:space="preserve">Further discuss how to improve the test procedure and the applicability of testing method for different requirements in Annex </w:t>
      </w:r>
      <w:r>
        <w:rPr>
          <w:rFonts w:hint="eastAsia" w:ascii="Times New Roman" w:hAnsi="Times New Roman" w:cs="Times New Roman"/>
          <w:iCs/>
          <w:color w:val="auto"/>
          <w:highlight w:val="none"/>
          <w:lang w:val="en-US" w:eastAsia="zh-CN"/>
        </w:rPr>
        <w:t>I</w:t>
      </w:r>
      <w:r>
        <w:rPr>
          <w:rFonts w:hint="default" w:ascii="Times New Roman" w:hAnsi="Times New Roman" w:cs="Times New Roman"/>
          <w:iCs/>
          <w:color w:val="auto"/>
          <w:highlight w:val="none"/>
          <w:lang w:val="en-US" w:eastAsia="zh-CN"/>
        </w:rPr>
        <w:t xml:space="preserve"> of TS 38.141-2.</w:t>
      </w:r>
    </w:p>
    <w:bookmarkEnd w:id="2"/>
    <w:p w14:paraId="56C74A1A">
      <w:pPr>
        <w:pStyle w:val="3"/>
        <w:rPr>
          <w:lang w:eastAsia="ja-JP"/>
        </w:rPr>
      </w:pPr>
      <w:r>
        <w:rPr>
          <w:lang w:eastAsia="ja-JP"/>
        </w:rPr>
        <w:t>2.5</w:t>
      </w:r>
      <w:r>
        <w:rPr>
          <w:lang w:eastAsia="ja-JP"/>
        </w:rPr>
        <w:tab/>
      </w:r>
      <w:r>
        <w:rPr>
          <w:rFonts w:hint="eastAsia"/>
          <w:lang w:eastAsia="ja-JP"/>
        </w:rPr>
        <w:t>RAN</w:t>
      </w:r>
      <w:r>
        <w:rPr>
          <w:lang w:eastAsia="ja-JP"/>
        </w:rPr>
        <w:t>5</w:t>
      </w:r>
    </w:p>
    <w:p w14:paraId="604C09FC">
      <w:pPr>
        <w:pStyle w:val="4"/>
        <w:rPr>
          <w:lang w:eastAsia="ja-JP"/>
        </w:rPr>
      </w:pPr>
      <w:r>
        <w:rPr>
          <w:lang w:eastAsia="ja-JP"/>
        </w:rPr>
        <w:t>2.5.1</w:t>
      </w:r>
      <w:r>
        <w:rPr>
          <w:lang w:eastAsia="ja-JP"/>
        </w:rPr>
        <w:tab/>
      </w:r>
      <w:r>
        <w:rPr>
          <w:lang w:eastAsia="ja-JP"/>
        </w:rPr>
        <w:t>Agreements</w:t>
      </w:r>
    </w:p>
    <w:p w14:paraId="77E3FDEF">
      <w:pPr>
        <w:pStyle w:val="4"/>
        <w:rPr>
          <w:lang w:eastAsia="ja-JP"/>
        </w:rPr>
      </w:pPr>
      <w:r>
        <w:rPr>
          <w:lang w:eastAsia="ja-JP"/>
        </w:rPr>
        <w:t>2.5.2</w:t>
      </w:r>
      <w:r>
        <w:rPr>
          <w:lang w:eastAsia="ja-JP"/>
        </w:rPr>
        <w:tab/>
      </w:r>
      <w:r>
        <w:rPr>
          <w:lang w:eastAsia="ja-JP"/>
        </w:rPr>
        <w:t>Remaining Open issues</w:t>
      </w:r>
    </w:p>
    <w:p w14:paraId="55CFC512">
      <w:pPr>
        <w:pStyle w:val="4"/>
        <w:rPr>
          <w:lang w:eastAsia="ja-JP"/>
        </w:rPr>
      </w:pPr>
      <w:r>
        <w:rPr>
          <w:lang w:eastAsia="ja-JP"/>
        </w:rPr>
        <w:t>2.5.3</w:t>
      </w:r>
      <w:r>
        <w:rPr>
          <w:lang w:eastAsia="ja-JP"/>
        </w:rPr>
        <w:tab/>
      </w:r>
      <w:r>
        <w:rPr>
          <w:lang w:eastAsia="ja-JP"/>
        </w:rPr>
        <w:t>Remaining Open issues with cross-WG dependencies</w:t>
      </w:r>
    </w:p>
    <w:p w14:paraId="0C7811F1">
      <w:pPr>
        <w:pStyle w:val="3"/>
        <w:rPr>
          <w:lang w:eastAsia="ja-JP"/>
        </w:rPr>
      </w:pPr>
      <w:r>
        <w:rPr>
          <w:lang w:eastAsia="ja-JP"/>
        </w:rPr>
        <w:t>2.6</w:t>
      </w:r>
      <w:r>
        <w:rPr>
          <w:lang w:eastAsia="ja-JP"/>
        </w:rPr>
        <w:tab/>
      </w:r>
      <w:r>
        <w:rPr>
          <w:rFonts w:hint="eastAsia"/>
          <w:lang w:eastAsia="ja-JP"/>
        </w:rPr>
        <w:t>RAN6</w:t>
      </w:r>
    </w:p>
    <w:p w14:paraId="46454998">
      <w:pPr>
        <w:pStyle w:val="4"/>
        <w:rPr>
          <w:lang w:eastAsia="ja-JP"/>
        </w:rPr>
      </w:pPr>
      <w:r>
        <w:rPr>
          <w:lang w:eastAsia="ja-JP"/>
        </w:rPr>
        <w:t>2.6.1</w:t>
      </w:r>
      <w:r>
        <w:rPr>
          <w:lang w:eastAsia="ja-JP"/>
        </w:rPr>
        <w:tab/>
      </w:r>
      <w:r>
        <w:rPr>
          <w:lang w:eastAsia="ja-JP"/>
        </w:rPr>
        <w:t>Agreements</w:t>
      </w:r>
    </w:p>
    <w:p w14:paraId="1BC53A9F">
      <w:pPr>
        <w:pStyle w:val="4"/>
        <w:rPr>
          <w:lang w:eastAsia="ja-JP"/>
        </w:rPr>
      </w:pPr>
      <w:r>
        <w:rPr>
          <w:lang w:eastAsia="ja-JP"/>
        </w:rPr>
        <w:t>2.6.2</w:t>
      </w:r>
      <w:r>
        <w:rPr>
          <w:lang w:eastAsia="ja-JP"/>
        </w:rPr>
        <w:tab/>
      </w:r>
      <w:r>
        <w:rPr>
          <w:lang w:eastAsia="ja-JP"/>
        </w:rPr>
        <w:t>Remaining Open issues</w:t>
      </w:r>
    </w:p>
    <w:p w14:paraId="2C866F08">
      <w:pPr>
        <w:pStyle w:val="2"/>
      </w:pPr>
      <w:r>
        <w:t>3.</w:t>
      </w:r>
      <w:r>
        <w:tab/>
      </w:r>
      <w:r>
        <w:t>Detailed progress in SA/CT WGs since last TSG meeting (for all involved WGs)</w:t>
      </w:r>
    </w:p>
    <w:p w14:paraId="001D4596">
      <w:pPr>
        <w:pStyle w:val="3"/>
        <w:rPr>
          <w:lang w:eastAsia="ja-JP"/>
        </w:rPr>
      </w:pPr>
      <w:r>
        <w:rPr>
          <w:lang w:eastAsia="ja-JP"/>
        </w:rPr>
        <w:t>3.1</w:t>
      </w:r>
      <w:r>
        <w:rPr>
          <w:lang w:eastAsia="ja-JP"/>
        </w:rPr>
        <w:tab/>
      </w:r>
      <w:r>
        <w:rPr>
          <w:lang w:eastAsia="ja-JP"/>
        </w:rPr>
        <w:t>SAx/CTs</w:t>
      </w:r>
    </w:p>
    <w:p w14:paraId="2871FA7E">
      <w:pPr>
        <w:pStyle w:val="4"/>
        <w:rPr>
          <w:lang w:eastAsia="ja-JP"/>
        </w:rPr>
      </w:pPr>
      <w:r>
        <w:rPr>
          <w:lang w:eastAsia="ja-JP"/>
        </w:rPr>
        <w:t>3.1.1</w:t>
      </w:r>
      <w:r>
        <w:rPr>
          <w:lang w:eastAsia="ja-JP"/>
        </w:rPr>
        <w:tab/>
      </w:r>
      <w:r>
        <w:rPr>
          <w:lang w:eastAsia="ja-JP"/>
        </w:rPr>
        <w:t>Agreements with cross-TSG impacts</w:t>
      </w:r>
    </w:p>
    <w:p w14:paraId="2E833528">
      <w:pPr>
        <w:pStyle w:val="4"/>
        <w:rPr>
          <w:lang w:eastAsia="ja-JP"/>
        </w:rPr>
      </w:pPr>
      <w:r>
        <w:rPr>
          <w:lang w:eastAsia="ja-JP"/>
        </w:rPr>
        <w:t>3.1.2</w:t>
      </w:r>
      <w:r>
        <w:rPr>
          <w:lang w:eastAsia="ja-JP"/>
        </w:rPr>
        <w:tab/>
      </w:r>
      <w:r>
        <w:rPr>
          <w:lang w:eastAsia="ja-JP"/>
        </w:rPr>
        <w:t>Remaining Open issues with cross-TSG impacts</w:t>
      </w:r>
    </w:p>
    <w:p w14:paraId="4F879006">
      <w:pPr>
        <w:pStyle w:val="2"/>
      </w:pPr>
      <w:r>
        <w:t>4.</w:t>
      </w:r>
      <w:r>
        <w:tab/>
      </w:r>
      <w:r>
        <w:t>References</w:t>
      </w:r>
    </w:p>
    <w:p w14:paraId="5BC50A2B">
      <w:pPr>
        <w:pStyle w:val="3"/>
        <w:ind w:left="0" w:firstLine="0"/>
        <w:rPr>
          <w:rFonts w:hint="eastAsia"/>
          <w:kern w:val="2"/>
          <w:sz w:val="21"/>
          <w:lang w:val="en-US" w:eastAsia="zh-CN"/>
        </w:rPr>
      </w:pPr>
      <w:r>
        <w:rPr>
          <w:rFonts w:hint="eastAsia" w:eastAsiaTheme="minorEastAsia"/>
          <w:lang w:eastAsia="zh-CN"/>
        </w:rPr>
        <w:t>RAN4#11</w:t>
      </w:r>
      <w:r>
        <w:rPr>
          <w:rFonts w:hint="eastAsia" w:eastAsiaTheme="minorEastAsia"/>
          <w:lang w:val="en-US" w:eastAsia="zh-CN"/>
        </w:rPr>
        <w:t>4bis</w:t>
      </w:r>
    </w:p>
    <w:p w14:paraId="5397DBA0">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R4-2503167</w:t>
      </w:r>
      <w:r>
        <w:rPr>
          <w:rFonts w:hint="eastAsia"/>
          <w:kern w:val="2"/>
          <w:sz w:val="21"/>
          <w:lang w:val="en-US" w:eastAsia="zh-CN"/>
        </w:rPr>
        <w:tab/>
      </w:r>
      <w:r>
        <w:rPr>
          <w:rFonts w:hint="eastAsia"/>
          <w:kern w:val="2"/>
          <w:sz w:val="21"/>
          <w:lang w:val="en-US" w:eastAsia="zh-CN"/>
        </w:rPr>
        <w:t>Simplification of BS TRP test methods</w:t>
      </w:r>
      <w:r>
        <w:rPr>
          <w:rFonts w:hint="eastAsia"/>
          <w:kern w:val="2"/>
          <w:sz w:val="21"/>
          <w:lang w:val="en-US" w:eastAsia="zh-CN"/>
        </w:rPr>
        <w:tab/>
      </w:r>
      <w:r>
        <w:rPr>
          <w:rFonts w:hint="eastAsia"/>
          <w:kern w:val="2"/>
          <w:sz w:val="21"/>
          <w:lang w:val="en-US" w:eastAsia="zh-CN"/>
        </w:rPr>
        <w:t>Nokia</w:t>
      </w:r>
    </w:p>
    <w:p w14:paraId="576E1BDB">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R4-2503577</w:t>
      </w:r>
      <w:r>
        <w:rPr>
          <w:rFonts w:hint="eastAsia"/>
          <w:kern w:val="2"/>
          <w:sz w:val="21"/>
          <w:lang w:val="en-US" w:eastAsia="zh-CN"/>
        </w:rPr>
        <w:tab/>
      </w:r>
      <w:r>
        <w:rPr>
          <w:rFonts w:hint="eastAsia"/>
          <w:kern w:val="2"/>
          <w:sz w:val="21"/>
          <w:lang w:val="en-US" w:eastAsia="zh-CN"/>
        </w:rPr>
        <w:t>[37.941] Incorrect MU data for n104 band</w:t>
      </w:r>
      <w:r>
        <w:rPr>
          <w:rFonts w:hint="eastAsia"/>
          <w:kern w:val="2"/>
          <w:sz w:val="21"/>
          <w:lang w:val="en-US" w:eastAsia="zh-CN"/>
        </w:rPr>
        <w:tab/>
      </w:r>
      <w:r>
        <w:rPr>
          <w:rFonts w:hint="eastAsia"/>
          <w:kern w:val="2"/>
          <w:sz w:val="21"/>
          <w:lang w:val="en-US" w:eastAsia="zh-CN"/>
        </w:rPr>
        <w:t>ROHDE &amp; SCHWARZ</w:t>
      </w:r>
    </w:p>
    <w:p w14:paraId="5A9BFE12">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R4-2503588</w:t>
      </w:r>
      <w:r>
        <w:rPr>
          <w:rFonts w:hint="eastAsia"/>
          <w:kern w:val="2"/>
          <w:sz w:val="21"/>
          <w:lang w:val="en-US" w:eastAsia="zh-CN"/>
        </w:rPr>
        <w:tab/>
      </w:r>
      <w:r>
        <w:rPr>
          <w:rFonts w:hint="eastAsia"/>
          <w:kern w:val="2"/>
          <w:sz w:val="21"/>
          <w:lang w:val="en-US" w:eastAsia="zh-CN"/>
        </w:rPr>
        <w:t>[37.941] Incorrect MU data for n104 band</w:t>
      </w:r>
      <w:r>
        <w:rPr>
          <w:rFonts w:hint="eastAsia"/>
          <w:kern w:val="2"/>
          <w:sz w:val="21"/>
          <w:lang w:val="en-US" w:eastAsia="zh-CN"/>
        </w:rPr>
        <w:tab/>
      </w:r>
      <w:r>
        <w:rPr>
          <w:rFonts w:hint="eastAsia"/>
          <w:kern w:val="2"/>
          <w:sz w:val="21"/>
          <w:lang w:val="en-US" w:eastAsia="zh-CN"/>
        </w:rPr>
        <w:t>ROHDE &amp; SCHWARZ</w:t>
      </w:r>
    </w:p>
    <w:p w14:paraId="49037ED3">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R4-2503589</w:t>
      </w:r>
      <w:r>
        <w:rPr>
          <w:rFonts w:hint="eastAsia"/>
          <w:kern w:val="2"/>
          <w:sz w:val="21"/>
          <w:lang w:val="en-US" w:eastAsia="zh-CN"/>
        </w:rPr>
        <w:tab/>
      </w:r>
      <w:r>
        <w:rPr>
          <w:rFonts w:hint="eastAsia"/>
          <w:kern w:val="2"/>
          <w:sz w:val="21"/>
          <w:lang w:val="en-US" w:eastAsia="zh-CN"/>
        </w:rPr>
        <w:t>[38.141-2] Incorrect MU data for n104 band</w:t>
      </w:r>
      <w:r>
        <w:rPr>
          <w:rFonts w:hint="eastAsia"/>
          <w:kern w:val="2"/>
          <w:sz w:val="21"/>
          <w:lang w:val="en-US" w:eastAsia="zh-CN"/>
        </w:rPr>
        <w:tab/>
      </w:r>
      <w:r>
        <w:rPr>
          <w:rFonts w:hint="eastAsia"/>
          <w:kern w:val="2"/>
          <w:sz w:val="21"/>
          <w:lang w:val="en-US" w:eastAsia="zh-CN"/>
        </w:rPr>
        <w:t>ROHDE &amp; SCHWARZ</w:t>
      </w:r>
    </w:p>
    <w:p w14:paraId="7B9F5A4B">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R4-2503593</w:t>
      </w:r>
      <w:r>
        <w:rPr>
          <w:rFonts w:hint="eastAsia"/>
          <w:kern w:val="2"/>
          <w:sz w:val="21"/>
          <w:lang w:val="en-US" w:eastAsia="zh-CN"/>
        </w:rPr>
        <w:tab/>
      </w:r>
      <w:r>
        <w:rPr>
          <w:rFonts w:hint="eastAsia"/>
          <w:kern w:val="2"/>
          <w:sz w:val="21"/>
          <w:lang w:val="en-US" w:eastAsia="zh-CN"/>
        </w:rPr>
        <w:t>[38.141-2] Incorrect MU data for n104 band</w:t>
      </w:r>
      <w:r>
        <w:rPr>
          <w:rFonts w:hint="eastAsia"/>
          <w:kern w:val="2"/>
          <w:sz w:val="21"/>
          <w:lang w:val="en-US" w:eastAsia="zh-CN"/>
        </w:rPr>
        <w:tab/>
      </w:r>
      <w:r>
        <w:rPr>
          <w:rFonts w:hint="eastAsia"/>
          <w:kern w:val="2"/>
          <w:sz w:val="21"/>
          <w:lang w:val="en-US" w:eastAsia="zh-CN"/>
        </w:rPr>
        <w:t>ROHDE &amp; SCHWARZ</w:t>
      </w:r>
    </w:p>
    <w:p w14:paraId="0C63EF7B">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R4-2503601</w:t>
      </w:r>
      <w:r>
        <w:rPr>
          <w:rFonts w:hint="eastAsia"/>
          <w:kern w:val="2"/>
          <w:sz w:val="21"/>
          <w:lang w:val="en-US" w:eastAsia="zh-CN"/>
        </w:rPr>
        <w:tab/>
      </w:r>
      <w:r>
        <w:rPr>
          <w:rFonts w:hint="eastAsia"/>
          <w:kern w:val="2"/>
          <w:sz w:val="21"/>
          <w:lang w:val="en-US" w:eastAsia="zh-CN"/>
        </w:rPr>
        <w:t>[Not inc C1-1] PWS specific MU data to be included for n104 band</w:t>
      </w:r>
      <w:r>
        <w:rPr>
          <w:rFonts w:hint="eastAsia"/>
          <w:kern w:val="2"/>
          <w:sz w:val="21"/>
          <w:lang w:val="en-US" w:eastAsia="zh-CN"/>
        </w:rPr>
        <w:tab/>
      </w:r>
      <w:r>
        <w:rPr>
          <w:rFonts w:hint="eastAsia"/>
          <w:kern w:val="2"/>
          <w:sz w:val="21"/>
          <w:lang w:val="en-US" w:eastAsia="zh-CN"/>
        </w:rPr>
        <w:t>ROHDE &amp; SCHWARZ</w:t>
      </w:r>
    </w:p>
    <w:p w14:paraId="6A70B4FB">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R4-2503602</w:t>
      </w:r>
      <w:r>
        <w:rPr>
          <w:rFonts w:hint="eastAsia"/>
          <w:kern w:val="2"/>
          <w:sz w:val="21"/>
          <w:lang w:val="en-US" w:eastAsia="zh-CN"/>
        </w:rPr>
        <w:tab/>
      </w:r>
      <w:r>
        <w:rPr>
          <w:rFonts w:hint="eastAsia"/>
          <w:kern w:val="2"/>
          <w:sz w:val="21"/>
          <w:lang w:val="en-US" w:eastAsia="zh-CN"/>
        </w:rPr>
        <w:t>[C1-1 focus] Spec An MU to be updated for n104 band</w:t>
      </w:r>
      <w:r>
        <w:rPr>
          <w:rFonts w:hint="eastAsia"/>
          <w:kern w:val="2"/>
          <w:sz w:val="21"/>
          <w:lang w:val="en-US" w:eastAsia="zh-CN"/>
        </w:rPr>
        <w:tab/>
      </w:r>
      <w:r>
        <w:rPr>
          <w:rFonts w:hint="eastAsia"/>
          <w:kern w:val="2"/>
          <w:sz w:val="21"/>
          <w:lang w:val="en-US" w:eastAsia="zh-CN"/>
        </w:rPr>
        <w:t>ROHDE &amp; SCHWARZ</w:t>
      </w:r>
    </w:p>
    <w:p w14:paraId="4F70B124">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R4-2503726</w:t>
      </w:r>
      <w:r>
        <w:rPr>
          <w:rFonts w:hint="eastAsia"/>
          <w:kern w:val="2"/>
          <w:sz w:val="21"/>
          <w:lang w:val="en-US" w:eastAsia="zh-CN"/>
        </w:rPr>
        <w:tab/>
      </w:r>
      <w:r>
        <w:rPr>
          <w:rFonts w:hint="eastAsia"/>
          <w:kern w:val="2"/>
          <w:sz w:val="21"/>
          <w:lang w:val="en-US" w:eastAsia="zh-CN"/>
        </w:rPr>
        <w:t>Rel-19 BS RF evolution overview</w:t>
      </w:r>
      <w:r>
        <w:rPr>
          <w:rFonts w:hint="eastAsia"/>
          <w:kern w:val="2"/>
          <w:sz w:val="21"/>
          <w:lang w:val="en-US" w:eastAsia="zh-CN"/>
        </w:rPr>
        <w:tab/>
      </w:r>
      <w:r>
        <w:rPr>
          <w:rFonts w:hint="eastAsia"/>
          <w:kern w:val="2"/>
          <w:sz w:val="21"/>
          <w:lang w:val="en-US" w:eastAsia="zh-CN"/>
        </w:rPr>
        <w:t>Ericsson</w:t>
      </w:r>
    </w:p>
    <w:p w14:paraId="04D7AAC1">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R4-2504012</w:t>
      </w:r>
      <w:r>
        <w:rPr>
          <w:rFonts w:hint="eastAsia"/>
          <w:kern w:val="2"/>
          <w:sz w:val="21"/>
          <w:lang w:val="en-US" w:eastAsia="zh-CN"/>
        </w:rPr>
        <w:tab/>
      </w:r>
      <w:r>
        <w:rPr>
          <w:rFonts w:hint="eastAsia"/>
          <w:kern w:val="2"/>
          <w:sz w:val="21"/>
          <w:lang w:val="en-US" w:eastAsia="zh-CN"/>
        </w:rPr>
        <w:t>OTA test scope reduction</w:t>
      </w:r>
      <w:r>
        <w:rPr>
          <w:rFonts w:hint="eastAsia"/>
          <w:kern w:val="2"/>
          <w:sz w:val="21"/>
          <w:lang w:val="en-US" w:eastAsia="zh-CN"/>
        </w:rPr>
        <w:tab/>
      </w:r>
      <w:r>
        <w:rPr>
          <w:rFonts w:hint="eastAsia"/>
          <w:kern w:val="2"/>
          <w:sz w:val="21"/>
          <w:lang w:val="en-US" w:eastAsia="zh-CN"/>
        </w:rPr>
        <w:t>Ericsson</w:t>
      </w:r>
    </w:p>
    <w:p w14:paraId="35AA0056">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R4-2504013</w:t>
      </w:r>
      <w:r>
        <w:rPr>
          <w:rFonts w:hint="eastAsia"/>
          <w:kern w:val="2"/>
          <w:sz w:val="21"/>
          <w:lang w:val="en-US" w:eastAsia="zh-CN"/>
        </w:rPr>
        <w:tab/>
      </w:r>
      <w:r>
        <w:rPr>
          <w:rFonts w:hint="eastAsia"/>
          <w:kern w:val="2"/>
          <w:sz w:val="21"/>
          <w:lang w:val="en-US" w:eastAsia="zh-CN"/>
        </w:rPr>
        <w:t>Simulation of BS-to-BS out-of-band isolation for edge-to-edge co-location isolation between 3.5 and 7 GHz</w:t>
      </w:r>
      <w:r>
        <w:rPr>
          <w:rFonts w:hint="eastAsia"/>
          <w:kern w:val="2"/>
          <w:sz w:val="21"/>
          <w:lang w:val="en-US" w:eastAsia="zh-CN"/>
        </w:rPr>
        <w:tab/>
      </w:r>
      <w:r>
        <w:rPr>
          <w:rFonts w:hint="eastAsia"/>
          <w:kern w:val="2"/>
          <w:sz w:val="21"/>
          <w:lang w:val="en-US" w:eastAsia="zh-CN"/>
        </w:rPr>
        <w:t>Ericsson</w:t>
      </w:r>
    </w:p>
    <w:p w14:paraId="44B654F6">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R4-2504191</w:t>
      </w:r>
      <w:r>
        <w:rPr>
          <w:rFonts w:hint="eastAsia"/>
          <w:kern w:val="2"/>
          <w:sz w:val="21"/>
          <w:lang w:val="en-US" w:eastAsia="zh-CN"/>
        </w:rPr>
        <w:tab/>
      </w:r>
      <w:r>
        <w:rPr>
          <w:rFonts w:hint="eastAsia"/>
          <w:kern w:val="2"/>
          <w:sz w:val="21"/>
          <w:lang w:val="en-US" w:eastAsia="zh-CN"/>
        </w:rPr>
        <w:t>On OTA test enhancements</w:t>
      </w:r>
      <w:r>
        <w:rPr>
          <w:rFonts w:hint="eastAsia"/>
          <w:kern w:val="2"/>
          <w:sz w:val="21"/>
          <w:lang w:val="en-US" w:eastAsia="zh-CN"/>
        </w:rPr>
        <w:tab/>
      </w:r>
      <w:r>
        <w:rPr>
          <w:rFonts w:hint="eastAsia"/>
          <w:kern w:val="2"/>
          <w:sz w:val="21"/>
          <w:lang w:val="en-US" w:eastAsia="zh-CN"/>
        </w:rPr>
        <w:t>Nokia</w:t>
      </w:r>
    </w:p>
    <w:p w14:paraId="7286D718">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R4-2504192</w:t>
      </w:r>
      <w:r>
        <w:rPr>
          <w:rFonts w:hint="eastAsia"/>
          <w:kern w:val="2"/>
          <w:sz w:val="21"/>
          <w:lang w:val="en-US" w:eastAsia="zh-CN"/>
        </w:rPr>
        <w:tab/>
      </w:r>
      <w:r>
        <w:rPr>
          <w:rFonts w:hint="eastAsia"/>
          <w:kern w:val="2"/>
          <w:sz w:val="21"/>
          <w:lang w:val="en-US" w:eastAsia="zh-CN"/>
        </w:rPr>
        <w:t>On TX co-existence spurious emissions requirements</w:t>
      </w:r>
      <w:r>
        <w:rPr>
          <w:rFonts w:hint="eastAsia"/>
          <w:kern w:val="2"/>
          <w:sz w:val="21"/>
          <w:lang w:val="en-US" w:eastAsia="zh-CN"/>
        </w:rPr>
        <w:tab/>
      </w:r>
      <w:r>
        <w:rPr>
          <w:rFonts w:hint="eastAsia"/>
          <w:kern w:val="2"/>
          <w:sz w:val="21"/>
          <w:lang w:val="en-US" w:eastAsia="zh-CN"/>
        </w:rPr>
        <w:t>Nokia</w:t>
      </w:r>
    </w:p>
    <w:p w14:paraId="3ABC94E1">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R4-2504267</w:t>
      </w:r>
      <w:r>
        <w:rPr>
          <w:rFonts w:hint="eastAsia"/>
          <w:kern w:val="2"/>
          <w:sz w:val="21"/>
          <w:lang w:val="en-US" w:eastAsia="zh-CN"/>
        </w:rPr>
        <w:tab/>
      </w:r>
      <w:r>
        <w:rPr>
          <w:rFonts w:hint="eastAsia"/>
          <w:kern w:val="2"/>
          <w:sz w:val="21"/>
          <w:lang w:val="en-US" w:eastAsia="zh-CN"/>
        </w:rPr>
        <w:t>On Co-existence parameters for BS Tx spurious emission co-existence requirement limits</w:t>
      </w:r>
      <w:r>
        <w:rPr>
          <w:rFonts w:hint="eastAsia"/>
          <w:kern w:val="2"/>
          <w:sz w:val="21"/>
          <w:lang w:val="en-US" w:eastAsia="zh-CN"/>
        </w:rPr>
        <w:tab/>
      </w:r>
      <w:r>
        <w:rPr>
          <w:rFonts w:hint="eastAsia"/>
          <w:kern w:val="2"/>
          <w:sz w:val="21"/>
          <w:lang w:val="en-US" w:eastAsia="zh-CN"/>
        </w:rPr>
        <w:t>Ericsson</w:t>
      </w:r>
    </w:p>
    <w:p w14:paraId="40FBE58F">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R4-2504295</w:t>
      </w:r>
      <w:r>
        <w:rPr>
          <w:rFonts w:hint="eastAsia"/>
          <w:kern w:val="2"/>
          <w:sz w:val="21"/>
          <w:lang w:val="en-US" w:eastAsia="zh-CN"/>
        </w:rPr>
        <w:tab/>
      </w:r>
      <w:r>
        <w:rPr>
          <w:rFonts w:hint="eastAsia"/>
          <w:kern w:val="2"/>
          <w:sz w:val="21"/>
          <w:lang w:val="en-US" w:eastAsia="zh-CN"/>
        </w:rPr>
        <w:t>Further discussion on Expected EIRP test</w:t>
      </w:r>
      <w:r>
        <w:rPr>
          <w:rFonts w:hint="eastAsia"/>
          <w:kern w:val="2"/>
          <w:sz w:val="21"/>
          <w:lang w:val="en-US" w:eastAsia="zh-CN"/>
        </w:rPr>
        <w:tab/>
      </w:r>
      <w:r>
        <w:rPr>
          <w:rFonts w:hint="eastAsia"/>
          <w:kern w:val="2"/>
          <w:sz w:val="21"/>
          <w:lang w:val="en-US" w:eastAsia="zh-CN"/>
        </w:rPr>
        <w:t>Huawei, HiSilicon</w:t>
      </w:r>
    </w:p>
    <w:p w14:paraId="2CD554B9">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R4-2504296</w:t>
      </w:r>
      <w:r>
        <w:rPr>
          <w:rFonts w:hint="eastAsia"/>
          <w:kern w:val="2"/>
          <w:sz w:val="21"/>
          <w:lang w:val="en-US" w:eastAsia="zh-CN"/>
        </w:rPr>
        <w:tab/>
      </w:r>
      <w:r>
        <w:rPr>
          <w:rFonts w:hint="eastAsia"/>
          <w:kern w:val="2"/>
          <w:sz w:val="21"/>
          <w:lang w:val="en-US" w:eastAsia="zh-CN"/>
        </w:rPr>
        <w:t>Draft CR to TS 38.908 EEIRP measurement uncertainty</w:t>
      </w:r>
      <w:r>
        <w:rPr>
          <w:rFonts w:hint="eastAsia"/>
          <w:kern w:val="2"/>
          <w:sz w:val="21"/>
          <w:lang w:val="en-US" w:eastAsia="zh-CN"/>
        </w:rPr>
        <w:tab/>
      </w:r>
      <w:r>
        <w:rPr>
          <w:rFonts w:hint="eastAsia"/>
          <w:kern w:val="2"/>
          <w:sz w:val="21"/>
          <w:lang w:val="en-US" w:eastAsia="zh-CN"/>
        </w:rPr>
        <w:t>Huawei, HiSilicon</w:t>
      </w:r>
    </w:p>
    <w:p w14:paraId="5D419C62">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R4-2504297</w:t>
      </w:r>
      <w:r>
        <w:rPr>
          <w:rFonts w:hint="eastAsia"/>
          <w:kern w:val="2"/>
          <w:sz w:val="21"/>
          <w:lang w:val="en-US" w:eastAsia="zh-CN"/>
        </w:rPr>
        <w:tab/>
      </w:r>
      <w:r>
        <w:rPr>
          <w:rFonts w:hint="eastAsia"/>
          <w:kern w:val="2"/>
          <w:sz w:val="21"/>
          <w:lang w:val="en-US" w:eastAsia="zh-CN"/>
        </w:rPr>
        <w:t>Draft CR to TS 38.141-2 EEIRP measurement uncertainty and coordinate alignment</w:t>
      </w:r>
      <w:r>
        <w:rPr>
          <w:rFonts w:hint="eastAsia"/>
          <w:kern w:val="2"/>
          <w:sz w:val="21"/>
          <w:lang w:val="en-US" w:eastAsia="zh-CN"/>
        </w:rPr>
        <w:tab/>
      </w:r>
      <w:r>
        <w:rPr>
          <w:rFonts w:hint="eastAsia"/>
          <w:kern w:val="2"/>
          <w:sz w:val="21"/>
          <w:lang w:val="en-US" w:eastAsia="zh-CN"/>
        </w:rPr>
        <w:t>Huawei, HiSilicon</w:t>
      </w:r>
    </w:p>
    <w:p w14:paraId="051238AB">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R4-2504298</w:t>
      </w:r>
      <w:r>
        <w:rPr>
          <w:rFonts w:hint="eastAsia"/>
          <w:kern w:val="2"/>
          <w:sz w:val="21"/>
          <w:lang w:val="en-US" w:eastAsia="zh-CN"/>
        </w:rPr>
        <w:tab/>
      </w:r>
      <w:r>
        <w:rPr>
          <w:rFonts w:hint="eastAsia"/>
          <w:kern w:val="2"/>
          <w:sz w:val="21"/>
          <w:lang w:val="en-US" w:eastAsia="zh-CN"/>
        </w:rPr>
        <w:t>Transmitter co-existence spurious emission requirements</w:t>
      </w:r>
      <w:r>
        <w:rPr>
          <w:rFonts w:hint="eastAsia"/>
          <w:kern w:val="2"/>
          <w:sz w:val="21"/>
          <w:lang w:val="en-US" w:eastAsia="zh-CN"/>
        </w:rPr>
        <w:tab/>
      </w:r>
      <w:r>
        <w:rPr>
          <w:rFonts w:hint="eastAsia"/>
          <w:kern w:val="2"/>
          <w:sz w:val="21"/>
          <w:lang w:val="en-US" w:eastAsia="zh-CN"/>
        </w:rPr>
        <w:t>Huawei, HiSilicon</w:t>
      </w:r>
    </w:p>
    <w:p w14:paraId="703EC4D0">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R4-2504299</w:t>
      </w:r>
      <w:r>
        <w:rPr>
          <w:rFonts w:hint="eastAsia"/>
          <w:kern w:val="2"/>
          <w:sz w:val="21"/>
          <w:lang w:val="en-US" w:eastAsia="zh-CN"/>
        </w:rPr>
        <w:tab/>
      </w:r>
      <w:r>
        <w:rPr>
          <w:rFonts w:hint="eastAsia"/>
          <w:kern w:val="2"/>
          <w:sz w:val="21"/>
          <w:lang w:val="en-US" w:eastAsia="zh-CN"/>
        </w:rPr>
        <w:t>OTA test case reduction</w:t>
      </w:r>
      <w:r>
        <w:rPr>
          <w:rFonts w:hint="eastAsia"/>
          <w:kern w:val="2"/>
          <w:sz w:val="21"/>
          <w:lang w:val="en-US" w:eastAsia="zh-CN"/>
        </w:rPr>
        <w:tab/>
      </w:r>
      <w:r>
        <w:rPr>
          <w:rFonts w:hint="eastAsia"/>
          <w:kern w:val="2"/>
          <w:sz w:val="21"/>
          <w:lang w:val="en-US" w:eastAsia="zh-CN"/>
        </w:rPr>
        <w:t>Huawei, HiSilicon</w:t>
      </w:r>
    </w:p>
    <w:p w14:paraId="56522BA0">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R4-2504343</w:t>
      </w:r>
      <w:r>
        <w:rPr>
          <w:rFonts w:hint="eastAsia"/>
          <w:kern w:val="2"/>
          <w:sz w:val="21"/>
          <w:lang w:val="en-US" w:eastAsia="zh-CN"/>
        </w:rPr>
        <w:tab/>
      </w:r>
      <w:r>
        <w:rPr>
          <w:rFonts w:hint="eastAsia"/>
          <w:kern w:val="2"/>
          <w:sz w:val="21"/>
          <w:lang w:val="en-US" w:eastAsia="zh-CN"/>
        </w:rPr>
        <w:t>Views on BS FR1 transmitter co-existence spurious emission requirements</w:t>
      </w:r>
      <w:r>
        <w:rPr>
          <w:rFonts w:hint="eastAsia"/>
          <w:kern w:val="2"/>
          <w:sz w:val="21"/>
          <w:lang w:val="en-US" w:eastAsia="zh-CN"/>
        </w:rPr>
        <w:tab/>
      </w:r>
      <w:r>
        <w:rPr>
          <w:rFonts w:hint="eastAsia"/>
          <w:kern w:val="2"/>
          <w:sz w:val="21"/>
          <w:lang w:val="en-US" w:eastAsia="zh-CN"/>
        </w:rPr>
        <w:t>Qualcomm Germany</w:t>
      </w:r>
    </w:p>
    <w:p w14:paraId="6DD3BEBC">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R4-2504358</w:t>
      </w:r>
      <w:r>
        <w:rPr>
          <w:rFonts w:hint="eastAsia"/>
          <w:kern w:val="2"/>
          <w:sz w:val="21"/>
          <w:lang w:val="en-US" w:eastAsia="zh-CN"/>
        </w:rPr>
        <w:tab/>
      </w:r>
      <w:r>
        <w:rPr>
          <w:rFonts w:hint="eastAsia"/>
          <w:kern w:val="2"/>
          <w:sz w:val="21"/>
          <w:lang w:val="en-US" w:eastAsia="zh-CN"/>
        </w:rPr>
        <w:t>Further discussion on OTA test enhancement</w:t>
      </w:r>
      <w:r>
        <w:rPr>
          <w:rFonts w:hint="eastAsia"/>
          <w:kern w:val="2"/>
          <w:sz w:val="21"/>
          <w:lang w:val="en-US" w:eastAsia="zh-CN"/>
        </w:rPr>
        <w:tab/>
      </w:r>
      <w:r>
        <w:rPr>
          <w:rFonts w:hint="eastAsia"/>
          <w:kern w:val="2"/>
          <w:sz w:val="21"/>
          <w:lang w:val="en-US" w:eastAsia="zh-CN"/>
        </w:rPr>
        <w:t>ZTE Corporation, Sanechips</w:t>
      </w:r>
    </w:p>
    <w:p w14:paraId="1DBB8251">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R4-2504359</w:t>
      </w:r>
      <w:r>
        <w:rPr>
          <w:rFonts w:hint="eastAsia"/>
          <w:kern w:val="2"/>
          <w:sz w:val="21"/>
          <w:lang w:val="en-US" w:eastAsia="zh-CN"/>
        </w:rPr>
        <w:tab/>
      </w:r>
      <w:r>
        <w:rPr>
          <w:rFonts w:hint="eastAsia"/>
          <w:kern w:val="2"/>
          <w:sz w:val="21"/>
          <w:lang w:val="en-US" w:eastAsia="zh-CN"/>
        </w:rPr>
        <w:t>Discussion on FR1 BS transmitter co-existence spurious emission requirements</w:t>
      </w:r>
      <w:r>
        <w:rPr>
          <w:rFonts w:hint="eastAsia"/>
          <w:kern w:val="2"/>
          <w:sz w:val="21"/>
          <w:lang w:val="en-US" w:eastAsia="zh-CN"/>
        </w:rPr>
        <w:tab/>
      </w:r>
      <w:r>
        <w:rPr>
          <w:rFonts w:hint="eastAsia"/>
          <w:kern w:val="2"/>
          <w:sz w:val="21"/>
          <w:lang w:val="en-US" w:eastAsia="zh-CN"/>
        </w:rPr>
        <w:t>ZTE Corporation, Sanechips</w:t>
      </w:r>
    </w:p>
    <w:p w14:paraId="57B4F43E">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R4-2504360</w:t>
      </w:r>
      <w:r>
        <w:rPr>
          <w:rFonts w:hint="eastAsia"/>
          <w:kern w:val="2"/>
          <w:sz w:val="21"/>
          <w:lang w:val="en-US" w:eastAsia="zh-CN"/>
        </w:rPr>
        <w:tab/>
      </w:r>
      <w:r>
        <w:rPr>
          <w:rFonts w:hint="eastAsia"/>
          <w:kern w:val="2"/>
          <w:sz w:val="21"/>
          <w:lang w:val="en-US" w:eastAsia="zh-CN"/>
        </w:rPr>
        <w:t>Discussion on conformance testing for U6GHz BS EEIRP mask</w:t>
      </w:r>
      <w:r>
        <w:rPr>
          <w:rFonts w:hint="eastAsia"/>
          <w:kern w:val="2"/>
          <w:sz w:val="21"/>
          <w:lang w:val="en-US" w:eastAsia="zh-CN"/>
        </w:rPr>
        <w:tab/>
      </w:r>
      <w:r>
        <w:rPr>
          <w:rFonts w:hint="eastAsia"/>
          <w:kern w:val="2"/>
          <w:sz w:val="21"/>
          <w:lang w:val="en-US" w:eastAsia="zh-CN"/>
        </w:rPr>
        <w:t>ZTE Corporation, Sanechips</w:t>
      </w:r>
    </w:p>
    <w:p w14:paraId="4D860622">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R4-2504361</w:t>
      </w:r>
      <w:r>
        <w:rPr>
          <w:rFonts w:hint="eastAsia"/>
          <w:kern w:val="2"/>
          <w:sz w:val="21"/>
          <w:lang w:val="en-US" w:eastAsia="zh-CN"/>
        </w:rPr>
        <w:tab/>
      </w:r>
      <w:r>
        <w:rPr>
          <w:rFonts w:hint="eastAsia"/>
          <w:kern w:val="2"/>
          <w:sz w:val="21"/>
          <w:lang w:val="en-US" w:eastAsia="zh-CN"/>
        </w:rPr>
        <w:t>Draft CR to TS 38.141-2: MU value and angular transformation for U6GHz EEIRP mask</w:t>
      </w:r>
      <w:r>
        <w:rPr>
          <w:rFonts w:hint="eastAsia"/>
          <w:kern w:val="2"/>
          <w:sz w:val="21"/>
          <w:lang w:val="en-US" w:eastAsia="zh-CN"/>
        </w:rPr>
        <w:tab/>
      </w:r>
      <w:r>
        <w:rPr>
          <w:rFonts w:hint="eastAsia"/>
          <w:kern w:val="2"/>
          <w:sz w:val="21"/>
          <w:lang w:val="en-US" w:eastAsia="zh-CN"/>
        </w:rPr>
        <w:t>ZTE Corporation, Sanechips</w:t>
      </w:r>
    </w:p>
    <w:p w14:paraId="4497B0F6">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R4-2504362</w:t>
      </w:r>
      <w:r>
        <w:rPr>
          <w:rFonts w:hint="eastAsia"/>
          <w:kern w:val="2"/>
          <w:sz w:val="21"/>
          <w:lang w:val="en-US" w:eastAsia="zh-CN"/>
        </w:rPr>
        <w:tab/>
      </w:r>
      <w:r>
        <w:rPr>
          <w:rFonts w:hint="eastAsia"/>
          <w:kern w:val="2"/>
          <w:sz w:val="21"/>
          <w:lang w:val="en-US" w:eastAsia="zh-CN"/>
        </w:rPr>
        <w:t>Draft CR to TR 38.908 EEIRP measurement uncertainty and angular transformation</w:t>
      </w:r>
      <w:r>
        <w:rPr>
          <w:rFonts w:hint="eastAsia"/>
          <w:kern w:val="2"/>
          <w:sz w:val="21"/>
          <w:lang w:val="en-US" w:eastAsia="zh-CN"/>
        </w:rPr>
        <w:tab/>
      </w:r>
      <w:r>
        <w:rPr>
          <w:rFonts w:hint="eastAsia"/>
          <w:kern w:val="2"/>
          <w:sz w:val="21"/>
          <w:lang w:val="en-US" w:eastAsia="zh-CN"/>
        </w:rPr>
        <w:t>ZTE Corporation, Sanechips</w:t>
      </w:r>
    </w:p>
    <w:p w14:paraId="5D42CA28">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R4-2504363</w:t>
      </w:r>
      <w:r>
        <w:rPr>
          <w:rFonts w:hint="eastAsia"/>
          <w:kern w:val="2"/>
          <w:sz w:val="21"/>
          <w:lang w:val="en-US" w:eastAsia="zh-CN"/>
        </w:rPr>
        <w:tab/>
      </w:r>
      <w:r>
        <w:rPr>
          <w:rFonts w:hint="eastAsia"/>
          <w:kern w:val="2"/>
          <w:sz w:val="21"/>
          <w:lang w:val="en-US" w:eastAsia="zh-CN"/>
        </w:rPr>
        <w:t>Big Draft CR to TS 38.908: MU and others</w:t>
      </w:r>
      <w:r>
        <w:rPr>
          <w:rFonts w:hint="eastAsia"/>
          <w:kern w:val="2"/>
          <w:sz w:val="21"/>
          <w:lang w:val="en-US" w:eastAsia="zh-CN"/>
        </w:rPr>
        <w:tab/>
      </w:r>
      <w:r>
        <w:rPr>
          <w:rFonts w:hint="eastAsia"/>
          <w:kern w:val="2"/>
          <w:sz w:val="21"/>
          <w:lang w:val="en-US" w:eastAsia="zh-CN"/>
        </w:rPr>
        <w:t>ZTE Corporation, Sanechips</w:t>
      </w:r>
    </w:p>
    <w:p w14:paraId="293EBA0C">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R4-2504364</w:t>
      </w:r>
      <w:r>
        <w:rPr>
          <w:rFonts w:hint="eastAsia"/>
          <w:kern w:val="2"/>
          <w:sz w:val="21"/>
          <w:lang w:val="en-US" w:eastAsia="zh-CN"/>
        </w:rPr>
        <w:tab/>
      </w:r>
      <w:r>
        <w:rPr>
          <w:rFonts w:hint="eastAsia"/>
          <w:kern w:val="2"/>
          <w:sz w:val="21"/>
          <w:lang w:val="en-US" w:eastAsia="zh-CN"/>
        </w:rPr>
        <w:t>Discussion on the OTA testing scope reduction</w:t>
      </w:r>
      <w:r>
        <w:rPr>
          <w:rFonts w:hint="eastAsia"/>
          <w:kern w:val="2"/>
          <w:sz w:val="21"/>
          <w:lang w:val="en-US" w:eastAsia="zh-CN"/>
        </w:rPr>
        <w:tab/>
      </w:r>
      <w:r>
        <w:rPr>
          <w:rFonts w:hint="eastAsia"/>
          <w:kern w:val="2"/>
          <w:sz w:val="21"/>
          <w:lang w:val="en-US" w:eastAsia="zh-CN"/>
        </w:rPr>
        <w:t>ZTE Corporation, Sanechips</w:t>
      </w:r>
    </w:p>
    <w:p w14:paraId="312EB893">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R4-2504365</w:t>
      </w:r>
      <w:r>
        <w:rPr>
          <w:rFonts w:hint="eastAsia"/>
          <w:kern w:val="2"/>
          <w:sz w:val="21"/>
          <w:lang w:val="en-US" w:eastAsia="zh-CN"/>
        </w:rPr>
        <w:tab/>
      </w:r>
      <w:r>
        <w:rPr>
          <w:rFonts w:hint="eastAsia"/>
          <w:kern w:val="2"/>
          <w:sz w:val="21"/>
          <w:lang w:val="en-US" w:eastAsia="zh-CN"/>
        </w:rPr>
        <w:t>Discussion on the applicability improvement of TRP measurement</w:t>
      </w:r>
      <w:r>
        <w:rPr>
          <w:rFonts w:hint="eastAsia"/>
          <w:kern w:val="2"/>
          <w:sz w:val="21"/>
          <w:lang w:val="en-US" w:eastAsia="zh-CN"/>
        </w:rPr>
        <w:tab/>
      </w:r>
      <w:r>
        <w:rPr>
          <w:rFonts w:hint="eastAsia"/>
          <w:kern w:val="2"/>
          <w:sz w:val="21"/>
          <w:lang w:val="en-US" w:eastAsia="zh-CN"/>
        </w:rPr>
        <w:t>ZTE Corporation, Sanechips</w:t>
      </w:r>
    </w:p>
    <w:p w14:paraId="4E5058AA">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R4-2504433</w:t>
      </w:r>
      <w:r>
        <w:rPr>
          <w:rFonts w:hint="eastAsia"/>
          <w:kern w:val="2"/>
          <w:sz w:val="21"/>
          <w:lang w:val="en-US" w:eastAsia="zh-CN"/>
        </w:rPr>
        <w:tab/>
      </w:r>
      <w:r>
        <w:rPr>
          <w:rFonts w:hint="eastAsia"/>
          <w:kern w:val="2"/>
          <w:sz w:val="21"/>
          <w:lang w:val="en-US" w:eastAsia="zh-CN"/>
        </w:rPr>
        <w:t>Draft CR to TS 38.106 for introduction of expected EIRP mask core requirement for NCR</w:t>
      </w:r>
      <w:r>
        <w:rPr>
          <w:rFonts w:hint="eastAsia"/>
          <w:kern w:val="2"/>
          <w:sz w:val="21"/>
          <w:lang w:val="en-US" w:eastAsia="zh-CN"/>
        </w:rPr>
        <w:tab/>
      </w:r>
      <w:r>
        <w:rPr>
          <w:rFonts w:hint="eastAsia"/>
          <w:kern w:val="2"/>
          <w:sz w:val="21"/>
          <w:lang w:val="en-US" w:eastAsia="zh-CN"/>
        </w:rPr>
        <w:t>Nokia, ZTE Corporation, Ericsson, Huawei, Samsung, Qualcomm, CATT</w:t>
      </w:r>
    </w:p>
    <w:p w14:paraId="51B16009">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R4-2504434</w:t>
      </w:r>
      <w:r>
        <w:rPr>
          <w:rFonts w:hint="eastAsia"/>
          <w:kern w:val="2"/>
          <w:sz w:val="21"/>
          <w:lang w:val="en-US" w:eastAsia="zh-CN"/>
        </w:rPr>
        <w:tab/>
      </w:r>
      <w:r>
        <w:rPr>
          <w:rFonts w:hint="eastAsia"/>
          <w:kern w:val="2"/>
          <w:sz w:val="21"/>
          <w:lang w:val="en-US" w:eastAsia="zh-CN"/>
        </w:rPr>
        <w:t>Draft CR to TS 38.115-2 for introduction of expected EIRP mask conformance test for NCR</w:t>
      </w:r>
      <w:r>
        <w:rPr>
          <w:rFonts w:hint="eastAsia"/>
          <w:kern w:val="2"/>
          <w:sz w:val="21"/>
          <w:lang w:val="en-US" w:eastAsia="zh-CN"/>
        </w:rPr>
        <w:tab/>
      </w:r>
      <w:r>
        <w:rPr>
          <w:rFonts w:hint="eastAsia"/>
          <w:kern w:val="2"/>
          <w:sz w:val="21"/>
          <w:lang w:val="en-US" w:eastAsia="zh-CN"/>
        </w:rPr>
        <w:t>Nokia, ZTE Corporation, Ericsson, Huawei, Samsung, Qualcomm, CATT</w:t>
      </w:r>
    </w:p>
    <w:p w14:paraId="638CFA95">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R4-2504435</w:t>
      </w:r>
      <w:r>
        <w:rPr>
          <w:rFonts w:hint="eastAsia"/>
          <w:kern w:val="2"/>
          <w:sz w:val="21"/>
          <w:lang w:val="en-US" w:eastAsia="zh-CN"/>
        </w:rPr>
        <w:tab/>
      </w:r>
      <w:r>
        <w:rPr>
          <w:rFonts w:hint="eastAsia"/>
          <w:kern w:val="2"/>
          <w:sz w:val="21"/>
          <w:lang w:val="en-US" w:eastAsia="zh-CN"/>
        </w:rPr>
        <w:t>Draft CR to TS 38.141-2 with updates for EEIRP requirement conformance testing</w:t>
      </w:r>
      <w:r>
        <w:rPr>
          <w:rFonts w:hint="eastAsia"/>
          <w:kern w:val="2"/>
          <w:sz w:val="21"/>
          <w:lang w:val="en-US" w:eastAsia="zh-CN"/>
        </w:rPr>
        <w:tab/>
      </w:r>
      <w:r>
        <w:rPr>
          <w:rFonts w:hint="eastAsia"/>
          <w:kern w:val="2"/>
          <w:sz w:val="21"/>
          <w:lang w:val="en-US" w:eastAsia="zh-CN"/>
        </w:rPr>
        <w:t>Nokia</w:t>
      </w:r>
    </w:p>
    <w:p w14:paraId="0AFA3310">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R4-2504436</w:t>
      </w:r>
      <w:r>
        <w:rPr>
          <w:rFonts w:hint="eastAsia"/>
          <w:kern w:val="2"/>
          <w:sz w:val="21"/>
          <w:lang w:val="en-US" w:eastAsia="zh-CN"/>
        </w:rPr>
        <w:tab/>
      </w:r>
      <w:r>
        <w:rPr>
          <w:rFonts w:hint="eastAsia"/>
          <w:kern w:val="2"/>
          <w:sz w:val="21"/>
          <w:lang w:val="en-US" w:eastAsia="zh-CN"/>
        </w:rPr>
        <w:t>Draft CR to TR 38.908 with updates to EEIRP sampling Error simulation results</w:t>
      </w:r>
      <w:r>
        <w:rPr>
          <w:rFonts w:hint="eastAsia"/>
          <w:kern w:val="2"/>
          <w:sz w:val="21"/>
          <w:lang w:val="en-US" w:eastAsia="zh-CN"/>
        </w:rPr>
        <w:tab/>
      </w:r>
      <w:r>
        <w:rPr>
          <w:rFonts w:hint="eastAsia"/>
          <w:kern w:val="2"/>
          <w:sz w:val="21"/>
          <w:lang w:val="en-US" w:eastAsia="zh-CN"/>
        </w:rPr>
        <w:t>Nokia</w:t>
      </w:r>
    </w:p>
    <w:p w14:paraId="630BBF28">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R4-2504437</w:t>
      </w:r>
      <w:r>
        <w:rPr>
          <w:rFonts w:hint="eastAsia"/>
          <w:kern w:val="2"/>
          <w:sz w:val="21"/>
          <w:lang w:val="en-US" w:eastAsia="zh-CN"/>
        </w:rPr>
        <w:tab/>
      </w:r>
      <w:r>
        <w:rPr>
          <w:rFonts w:hint="eastAsia"/>
          <w:kern w:val="2"/>
          <w:sz w:val="21"/>
          <w:lang w:val="en-US" w:eastAsia="zh-CN"/>
        </w:rPr>
        <w:t>Draft CR to TR 38.908 with updates to test procedure</w:t>
      </w:r>
      <w:r>
        <w:rPr>
          <w:rFonts w:hint="eastAsia"/>
          <w:kern w:val="2"/>
          <w:sz w:val="21"/>
          <w:lang w:val="en-US" w:eastAsia="zh-CN"/>
        </w:rPr>
        <w:tab/>
      </w:r>
      <w:r>
        <w:rPr>
          <w:rFonts w:hint="eastAsia"/>
          <w:kern w:val="2"/>
          <w:sz w:val="21"/>
          <w:lang w:val="en-US" w:eastAsia="zh-CN"/>
        </w:rPr>
        <w:t>Nokia</w:t>
      </w:r>
    </w:p>
    <w:p w14:paraId="68774E08">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R4-2504438</w:t>
      </w:r>
      <w:r>
        <w:rPr>
          <w:rFonts w:hint="eastAsia"/>
          <w:kern w:val="2"/>
          <w:sz w:val="21"/>
          <w:lang w:val="en-US" w:eastAsia="zh-CN"/>
        </w:rPr>
        <w:tab/>
      </w:r>
      <w:r>
        <w:rPr>
          <w:rFonts w:hint="eastAsia"/>
          <w:kern w:val="2"/>
          <w:sz w:val="21"/>
          <w:lang w:val="en-US" w:eastAsia="zh-CN"/>
        </w:rPr>
        <w:t>Further discussion BS OTA test scope reduction</w:t>
      </w:r>
      <w:r>
        <w:rPr>
          <w:rFonts w:hint="eastAsia"/>
          <w:kern w:val="2"/>
          <w:sz w:val="21"/>
          <w:lang w:val="en-US" w:eastAsia="zh-CN"/>
        </w:rPr>
        <w:tab/>
      </w:r>
      <w:r>
        <w:rPr>
          <w:rFonts w:hint="eastAsia"/>
          <w:kern w:val="2"/>
          <w:sz w:val="21"/>
          <w:lang w:val="en-US" w:eastAsia="zh-CN"/>
        </w:rPr>
        <w:t>Nokia</w:t>
      </w:r>
    </w:p>
    <w:p w14:paraId="1436C737">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R4-2504513</w:t>
      </w:r>
      <w:r>
        <w:rPr>
          <w:rFonts w:hint="eastAsia"/>
          <w:kern w:val="2"/>
          <w:sz w:val="21"/>
          <w:lang w:val="en-US" w:eastAsia="zh-CN"/>
        </w:rPr>
        <w:tab/>
      </w:r>
      <w:r>
        <w:rPr>
          <w:rFonts w:hint="eastAsia"/>
          <w:kern w:val="2"/>
          <w:sz w:val="21"/>
          <w:lang w:val="en-US" w:eastAsia="zh-CN"/>
        </w:rPr>
        <w:t>Draft CR to TR 38-908: Corrections and Improvements related to EEIRP</w:t>
      </w:r>
      <w:r>
        <w:rPr>
          <w:rFonts w:hint="eastAsia"/>
          <w:kern w:val="2"/>
          <w:sz w:val="21"/>
          <w:lang w:val="en-US" w:eastAsia="zh-CN"/>
        </w:rPr>
        <w:tab/>
      </w:r>
      <w:r>
        <w:rPr>
          <w:rFonts w:hint="eastAsia"/>
          <w:kern w:val="2"/>
          <w:sz w:val="21"/>
          <w:lang w:val="en-US" w:eastAsia="zh-CN"/>
        </w:rPr>
        <w:t>Ericsson</w:t>
      </w:r>
    </w:p>
    <w:p w14:paraId="6AAD90D9">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R4-2504514</w:t>
      </w:r>
      <w:r>
        <w:rPr>
          <w:rFonts w:hint="eastAsia"/>
          <w:kern w:val="2"/>
          <w:sz w:val="21"/>
          <w:lang w:val="en-US" w:eastAsia="zh-CN"/>
        </w:rPr>
        <w:tab/>
      </w:r>
      <w:r>
        <w:rPr>
          <w:rFonts w:hint="eastAsia"/>
          <w:kern w:val="2"/>
          <w:sz w:val="21"/>
          <w:lang w:val="en-US" w:eastAsia="zh-CN"/>
        </w:rPr>
        <w:t>Draft CR to TS 38.141-2: Improvements related to Expected EIRP (EEIRP)</w:t>
      </w:r>
      <w:r>
        <w:rPr>
          <w:rFonts w:hint="eastAsia"/>
          <w:kern w:val="2"/>
          <w:sz w:val="21"/>
          <w:lang w:val="en-US" w:eastAsia="zh-CN"/>
        </w:rPr>
        <w:tab/>
      </w:r>
      <w:r>
        <w:rPr>
          <w:rFonts w:hint="eastAsia"/>
          <w:kern w:val="2"/>
          <w:sz w:val="21"/>
          <w:lang w:val="en-US" w:eastAsia="zh-CN"/>
        </w:rPr>
        <w:t>Ericsson</w:t>
      </w:r>
    </w:p>
    <w:p w14:paraId="63EE1D5D">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R4-2504515</w:t>
      </w:r>
      <w:r>
        <w:rPr>
          <w:rFonts w:hint="eastAsia"/>
          <w:kern w:val="2"/>
          <w:sz w:val="21"/>
          <w:lang w:val="en-US" w:eastAsia="zh-CN"/>
        </w:rPr>
        <w:tab/>
      </w:r>
      <w:r>
        <w:rPr>
          <w:rFonts w:hint="eastAsia"/>
          <w:kern w:val="2"/>
          <w:sz w:val="21"/>
          <w:lang w:val="en-US" w:eastAsia="zh-CN"/>
        </w:rPr>
        <w:t>TS 38.141-2 Annex I: Further discussion on improvement of TRP measurement methods</w:t>
      </w:r>
      <w:r>
        <w:rPr>
          <w:rFonts w:hint="eastAsia"/>
          <w:kern w:val="2"/>
          <w:sz w:val="21"/>
          <w:lang w:val="en-US" w:eastAsia="zh-CN"/>
        </w:rPr>
        <w:tab/>
      </w:r>
      <w:r>
        <w:rPr>
          <w:rFonts w:hint="eastAsia"/>
          <w:kern w:val="2"/>
          <w:sz w:val="21"/>
          <w:lang w:val="en-US" w:eastAsia="zh-CN"/>
        </w:rPr>
        <w:t>Ericsson</w:t>
      </w:r>
    </w:p>
    <w:p w14:paraId="5CC17A93">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R4-2504594</w:t>
      </w:r>
      <w:r>
        <w:rPr>
          <w:rFonts w:hint="eastAsia"/>
          <w:kern w:val="2"/>
          <w:sz w:val="21"/>
          <w:lang w:val="en-US" w:eastAsia="zh-CN"/>
        </w:rPr>
        <w:tab/>
      </w:r>
      <w:r>
        <w:rPr>
          <w:rFonts w:hint="eastAsia"/>
          <w:kern w:val="2"/>
          <w:sz w:val="21"/>
          <w:lang w:val="en-US" w:eastAsia="zh-CN"/>
        </w:rPr>
        <w:t>Further discussion on CLTA related matters</w:t>
      </w:r>
      <w:r>
        <w:rPr>
          <w:rFonts w:hint="eastAsia"/>
          <w:kern w:val="2"/>
          <w:sz w:val="21"/>
          <w:lang w:val="en-US" w:eastAsia="zh-CN"/>
        </w:rPr>
        <w:tab/>
      </w:r>
      <w:r>
        <w:rPr>
          <w:rFonts w:hint="eastAsia"/>
          <w:kern w:val="2"/>
          <w:sz w:val="21"/>
          <w:lang w:val="en-US" w:eastAsia="zh-CN"/>
        </w:rPr>
        <w:t>Huawei, HiSilicon</w:t>
      </w:r>
    </w:p>
    <w:p w14:paraId="19AE21B4">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R4-2504596</w:t>
      </w:r>
      <w:r>
        <w:rPr>
          <w:rFonts w:hint="eastAsia"/>
          <w:kern w:val="2"/>
          <w:sz w:val="21"/>
          <w:lang w:val="en-US" w:eastAsia="zh-CN"/>
        </w:rPr>
        <w:tab/>
      </w:r>
      <w:r>
        <w:rPr>
          <w:rFonts w:hint="eastAsia"/>
          <w:kern w:val="2"/>
          <w:sz w:val="21"/>
          <w:lang w:val="en-US" w:eastAsia="zh-CN"/>
        </w:rPr>
        <w:t>Draft CR to TS 37.941: CLTA agreements</w:t>
      </w:r>
      <w:r>
        <w:rPr>
          <w:rFonts w:hint="eastAsia"/>
          <w:kern w:val="2"/>
          <w:sz w:val="21"/>
          <w:lang w:val="en-US" w:eastAsia="zh-CN"/>
        </w:rPr>
        <w:tab/>
      </w:r>
      <w:r>
        <w:rPr>
          <w:rFonts w:hint="eastAsia"/>
          <w:kern w:val="2"/>
          <w:sz w:val="21"/>
          <w:lang w:val="en-US" w:eastAsia="zh-CN"/>
        </w:rPr>
        <w:t>Huawei, HiSilicon</w:t>
      </w:r>
    </w:p>
    <w:p w14:paraId="6444F0A0">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R4-2504597</w:t>
      </w:r>
      <w:r>
        <w:rPr>
          <w:rFonts w:hint="eastAsia"/>
          <w:kern w:val="2"/>
          <w:sz w:val="21"/>
          <w:lang w:val="en-US" w:eastAsia="zh-CN"/>
        </w:rPr>
        <w:tab/>
      </w:r>
      <w:r>
        <w:rPr>
          <w:rFonts w:hint="eastAsia"/>
          <w:kern w:val="2"/>
          <w:sz w:val="21"/>
          <w:lang w:val="en-US" w:eastAsia="zh-CN"/>
        </w:rPr>
        <w:t>Information on European Commission feedback wrt. alternative test methods</w:t>
      </w:r>
      <w:r>
        <w:rPr>
          <w:rFonts w:hint="eastAsia"/>
          <w:kern w:val="2"/>
          <w:sz w:val="21"/>
          <w:lang w:val="en-US" w:eastAsia="zh-CN"/>
        </w:rPr>
        <w:tab/>
      </w:r>
      <w:r>
        <w:rPr>
          <w:rFonts w:hint="eastAsia"/>
          <w:kern w:val="2"/>
          <w:sz w:val="21"/>
          <w:lang w:val="en-US" w:eastAsia="zh-CN"/>
        </w:rPr>
        <w:t>Huawei, HiSilicon</w:t>
      </w:r>
    </w:p>
    <w:p w14:paraId="58739251">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R4-2504627</w:t>
      </w:r>
      <w:r>
        <w:rPr>
          <w:rFonts w:hint="eastAsia"/>
          <w:kern w:val="2"/>
          <w:sz w:val="21"/>
          <w:lang w:val="en-US" w:eastAsia="zh-CN"/>
        </w:rPr>
        <w:tab/>
      </w:r>
      <w:r>
        <w:rPr>
          <w:rFonts w:hint="eastAsia"/>
          <w:kern w:val="2"/>
          <w:sz w:val="21"/>
          <w:lang w:val="en-US" w:eastAsia="zh-CN"/>
        </w:rPr>
        <w:t>Topic summary for [114bis][302] NR_BS_RF_Part1_E_EIRP</w:t>
      </w:r>
      <w:r>
        <w:rPr>
          <w:rFonts w:hint="eastAsia"/>
          <w:kern w:val="2"/>
          <w:sz w:val="21"/>
          <w:lang w:val="en-US" w:eastAsia="zh-CN"/>
        </w:rPr>
        <w:tab/>
      </w:r>
      <w:r>
        <w:rPr>
          <w:rFonts w:hint="eastAsia"/>
          <w:kern w:val="2"/>
          <w:sz w:val="21"/>
          <w:lang w:val="en-US" w:eastAsia="zh-CN"/>
        </w:rPr>
        <w:t>Moderator (ZTE)</w:t>
      </w:r>
    </w:p>
    <w:p w14:paraId="7456F6C9">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R4-2504628</w:t>
      </w:r>
      <w:r>
        <w:rPr>
          <w:rFonts w:hint="eastAsia"/>
          <w:kern w:val="2"/>
          <w:sz w:val="21"/>
          <w:lang w:val="en-US" w:eastAsia="zh-CN"/>
        </w:rPr>
        <w:tab/>
      </w:r>
      <w:r>
        <w:rPr>
          <w:rFonts w:hint="eastAsia"/>
          <w:kern w:val="2"/>
          <w:sz w:val="21"/>
          <w:lang w:val="en-US" w:eastAsia="zh-CN"/>
        </w:rPr>
        <w:t>Topic summary for [114bis][303] NR_BS_RF_Part2_CLTA_SE</w:t>
      </w:r>
      <w:r>
        <w:rPr>
          <w:rFonts w:hint="eastAsia"/>
          <w:kern w:val="2"/>
          <w:sz w:val="21"/>
          <w:lang w:val="en-US" w:eastAsia="zh-CN"/>
        </w:rPr>
        <w:tab/>
      </w:r>
      <w:r>
        <w:rPr>
          <w:rFonts w:hint="eastAsia"/>
          <w:kern w:val="2"/>
          <w:sz w:val="21"/>
          <w:lang w:val="en-US" w:eastAsia="zh-CN"/>
        </w:rPr>
        <w:t>Moderator (Huawei)</w:t>
      </w:r>
    </w:p>
    <w:p w14:paraId="6A367282">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R4-2504629</w:t>
      </w:r>
      <w:r>
        <w:rPr>
          <w:rFonts w:hint="eastAsia"/>
          <w:kern w:val="2"/>
          <w:sz w:val="21"/>
          <w:lang w:val="en-US" w:eastAsia="zh-CN"/>
        </w:rPr>
        <w:tab/>
      </w:r>
      <w:r>
        <w:rPr>
          <w:rFonts w:hint="eastAsia"/>
          <w:kern w:val="2"/>
          <w:sz w:val="21"/>
          <w:lang w:val="en-US" w:eastAsia="zh-CN"/>
        </w:rPr>
        <w:t>Topic summary for [114bis][304] NR_BS_RF_Part3_OTA_TRP</w:t>
      </w:r>
      <w:r>
        <w:rPr>
          <w:rFonts w:hint="eastAsia"/>
          <w:kern w:val="2"/>
          <w:sz w:val="21"/>
          <w:lang w:val="en-US" w:eastAsia="zh-CN"/>
        </w:rPr>
        <w:tab/>
      </w:r>
      <w:r>
        <w:rPr>
          <w:rFonts w:hint="eastAsia"/>
          <w:kern w:val="2"/>
          <w:sz w:val="21"/>
          <w:lang w:val="en-US" w:eastAsia="zh-CN"/>
        </w:rPr>
        <w:t>Moderator (ZTE)</w:t>
      </w:r>
    </w:p>
    <w:p w14:paraId="349589C4">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R4-2504701</w:t>
      </w:r>
      <w:r>
        <w:rPr>
          <w:rFonts w:hint="eastAsia"/>
          <w:kern w:val="2"/>
          <w:sz w:val="21"/>
          <w:lang w:val="en-US" w:eastAsia="zh-CN"/>
        </w:rPr>
        <w:tab/>
      </w:r>
      <w:r>
        <w:rPr>
          <w:rFonts w:hint="eastAsia"/>
          <w:kern w:val="2"/>
          <w:sz w:val="21"/>
          <w:lang w:val="en-US" w:eastAsia="zh-CN"/>
        </w:rPr>
        <w:t>Way Forward for [114bis][303] NR_BS_RF_Part2_CLTA_SE</w:t>
      </w:r>
      <w:r>
        <w:rPr>
          <w:rFonts w:hint="eastAsia"/>
          <w:kern w:val="2"/>
          <w:sz w:val="21"/>
          <w:lang w:val="en-US" w:eastAsia="zh-CN"/>
        </w:rPr>
        <w:tab/>
      </w:r>
      <w:r>
        <w:rPr>
          <w:rFonts w:hint="eastAsia"/>
          <w:kern w:val="2"/>
          <w:sz w:val="21"/>
          <w:lang w:val="en-US" w:eastAsia="zh-CN"/>
        </w:rPr>
        <w:t>Huawei</w:t>
      </w:r>
    </w:p>
    <w:p w14:paraId="4955E5ED">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R4-2504732</w:t>
      </w:r>
      <w:r>
        <w:rPr>
          <w:rFonts w:hint="eastAsia"/>
          <w:kern w:val="2"/>
          <w:sz w:val="21"/>
          <w:lang w:val="en-US" w:eastAsia="zh-CN"/>
        </w:rPr>
        <w:tab/>
      </w:r>
      <w:r>
        <w:rPr>
          <w:rFonts w:hint="eastAsia"/>
          <w:kern w:val="2"/>
          <w:sz w:val="21"/>
          <w:lang w:val="en-US" w:eastAsia="zh-CN"/>
        </w:rPr>
        <w:t>Draft CR to TS 38.908 EEIRP measurement uncertainty</w:t>
      </w:r>
      <w:r>
        <w:rPr>
          <w:rFonts w:hint="eastAsia"/>
          <w:kern w:val="2"/>
          <w:sz w:val="21"/>
          <w:lang w:val="en-US" w:eastAsia="zh-CN"/>
        </w:rPr>
        <w:tab/>
      </w:r>
      <w:r>
        <w:rPr>
          <w:rFonts w:hint="eastAsia"/>
          <w:kern w:val="2"/>
          <w:sz w:val="21"/>
          <w:lang w:val="en-US" w:eastAsia="zh-CN"/>
        </w:rPr>
        <w:t>Huawei, HiSilicon</w:t>
      </w:r>
    </w:p>
    <w:p w14:paraId="0CA41DEC">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R4-2504733</w:t>
      </w:r>
      <w:r>
        <w:rPr>
          <w:rFonts w:hint="eastAsia"/>
          <w:kern w:val="2"/>
          <w:sz w:val="21"/>
          <w:lang w:val="en-US" w:eastAsia="zh-CN"/>
        </w:rPr>
        <w:tab/>
      </w:r>
      <w:r>
        <w:rPr>
          <w:rFonts w:hint="eastAsia"/>
          <w:kern w:val="2"/>
          <w:sz w:val="21"/>
          <w:lang w:val="en-US" w:eastAsia="zh-CN"/>
        </w:rPr>
        <w:t>Draft CR to TR 38.908 EEIRP measurement uncertainty and angular transformation</w:t>
      </w:r>
      <w:r>
        <w:rPr>
          <w:rFonts w:hint="eastAsia"/>
          <w:kern w:val="2"/>
          <w:sz w:val="21"/>
          <w:lang w:val="en-US" w:eastAsia="zh-CN"/>
        </w:rPr>
        <w:tab/>
      </w:r>
      <w:r>
        <w:rPr>
          <w:rFonts w:hint="eastAsia"/>
          <w:kern w:val="2"/>
          <w:sz w:val="21"/>
          <w:lang w:val="en-US" w:eastAsia="zh-CN"/>
        </w:rPr>
        <w:t>ZTE Corporation, Sanechips</w:t>
      </w:r>
    </w:p>
    <w:p w14:paraId="47967340">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R4-2504734</w:t>
      </w:r>
      <w:r>
        <w:rPr>
          <w:rFonts w:hint="eastAsia"/>
          <w:kern w:val="2"/>
          <w:sz w:val="21"/>
          <w:lang w:val="en-US" w:eastAsia="zh-CN"/>
        </w:rPr>
        <w:tab/>
      </w:r>
      <w:r>
        <w:rPr>
          <w:rFonts w:hint="eastAsia"/>
          <w:kern w:val="2"/>
          <w:sz w:val="21"/>
          <w:lang w:val="en-US" w:eastAsia="zh-CN"/>
        </w:rPr>
        <w:t>Draft CR to TS 38.115-2 for introduction of expected EIRP mask conformance test for NCR</w:t>
      </w:r>
      <w:r>
        <w:rPr>
          <w:rFonts w:hint="eastAsia"/>
          <w:kern w:val="2"/>
          <w:sz w:val="21"/>
          <w:lang w:val="en-US" w:eastAsia="zh-CN"/>
        </w:rPr>
        <w:tab/>
      </w:r>
      <w:r>
        <w:rPr>
          <w:rFonts w:hint="eastAsia"/>
          <w:kern w:val="2"/>
          <w:sz w:val="21"/>
          <w:lang w:val="en-US" w:eastAsia="zh-CN"/>
        </w:rPr>
        <w:t>Nokia, ZTE Corporation, Ericsson, Huawei, Samsung, Qualcomm, CATT</w:t>
      </w:r>
    </w:p>
    <w:p w14:paraId="483F5278">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R4-2504735</w:t>
      </w:r>
      <w:r>
        <w:rPr>
          <w:rFonts w:hint="eastAsia"/>
          <w:kern w:val="2"/>
          <w:sz w:val="21"/>
          <w:lang w:val="en-US" w:eastAsia="zh-CN"/>
        </w:rPr>
        <w:tab/>
      </w:r>
      <w:r>
        <w:rPr>
          <w:rFonts w:hint="eastAsia"/>
          <w:kern w:val="2"/>
          <w:sz w:val="21"/>
          <w:lang w:val="en-US" w:eastAsia="zh-CN"/>
        </w:rPr>
        <w:t>Draft CR to TS 38.141-2 with updates for EEIRP requirement conformance testing</w:t>
      </w:r>
      <w:r>
        <w:rPr>
          <w:rFonts w:hint="eastAsia"/>
          <w:kern w:val="2"/>
          <w:sz w:val="21"/>
          <w:lang w:val="en-US" w:eastAsia="zh-CN"/>
        </w:rPr>
        <w:tab/>
      </w:r>
      <w:r>
        <w:rPr>
          <w:rFonts w:hint="eastAsia"/>
          <w:kern w:val="2"/>
          <w:sz w:val="21"/>
          <w:lang w:val="en-US" w:eastAsia="zh-CN"/>
        </w:rPr>
        <w:t>Nokia</w:t>
      </w:r>
    </w:p>
    <w:p w14:paraId="50D48D8B">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R4-2504736</w:t>
      </w:r>
      <w:r>
        <w:rPr>
          <w:rFonts w:hint="eastAsia"/>
          <w:kern w:val="2"/>
          <w:sz w:val="21"/>
          <w:lang w:val="en-US" w:eastAsia="zh-CN"/>
        </w:rPr>
        <w:tab/>
      </w:r>
      <w:r>
        <w:rPr>
          <w:rFonts w:hint="eastAsia"/>
          <w:kern w:val="2"/>
          <w:sz w:val="21"/>
          <w:lang w:val="en-US" w:eastAsia="zh-CN"/>
        </w:rPr>
        <w:t>Draft CR to TR 38.908 with updates to test procedure</w:t>
      </w:r>
      <w:r>
        <w:rPr>
          <w:rFonts w:hint="eastAsia"/>
          <w:kern w:val="2"/>
          <w:sz w:val="21"/>
          <w:lang w:val="en-US" w:eastAsia="zh-CN"/>
        </w:rPr>
        <w:tab/>
      </w:r>
      <w:r>
        <w:rPr>
          <w:rFonts w:hint="eastAsia"/>
          <w:kern w:val="2"/>
          <w:sz w:val="21"/>
          <w:lang w:val="en-US" w:eastAsia="zh-CN"/>
        </w:rPr>
        <w:t>Nokia</w:t>
      </w:r>
    </w:p>
    <w:p w14:paraId="37D964DF">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R4-2504737</w:t>
      </w:r>
      <w:r>
        <w:rPr>
          <w:rFonts w:hint="eastAsia"/>
          <w:kern w:val="2"/>
          <w:sz w:val="21"/>
          <w:lang w:val="en-US" w:eastAsia="zh-CN"/>
        </w:rPr>
        <w:tab/>
      </w:r>
      <w:r>
        <w:rPr>
          <w:rFonts w:hint="eastAsia"/>
          <w:kern w:val="2"/>
          <w:sz w:val="21"/>
          <w:lang w:val="en-US" w:eastAsia="zh-CN"/>
        </w:rPr>
        <w:t>Draft CR to TR 38-908: Corrections and Improvements related to EEIRP</w:t>
      </w:r>
      <w:r>
        <w:rPr>
          <w:rFonts w:hint="eastAsia"/>
          <w:kern w:val="2"/>
          <w:sz w:val="21"/>
          <w:lang w:val="en-US" w:eastAsia="zh-CN"/>
        </w:rPr>
        <w:tab/>
      </w:r>
      <w:r>
        <w:rPr>
          <w:rFonts w:hint="eastAsia"/>
          <w:kern w:val="2"/>
          <w:sz w:val="21"/>
          <w:lang w:val="en-US" w:eastAsia="zh-CN"/>
        </w:rPr>
        <w:t>Ericsson</w:t>
      </w:r>
    </w:p>
    <w:p w14:paraId="69BC87A1">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R4-2504738</w:t>
      </w:r>
      <w:r>
        <w:rPr>
          <w:rFonts w:hint="eastAsia"/>
          <w:kern w:val="2"/>
          <w:sz w:val="21"/>
          <w:lang w:val="en-US" w:eastAsia="zh-CN"/>
        </w:rPr>
        <w:tab/>
      </w:r>
      <w:r>
        <w:rPr>
          <w:rFonts w:hint="eastAsia"/>
          <w:kern w:val="2"/>
          <w:sz w:val="21"/>
          <w:lang w:val="en-US" w:eastAsia="zh-CN"/>
        </w:rPr>
        <w:t>Draft CR to TS 38.141-2: Improvements related to Expected EIRP (EEIRP)</w:t>
      </w:r>
      <w:r>
        <w:rPr>
          <w:rFonts w:hint="eastAsia"/>
          <w:kern w:val="2"/>
          <w:sz w:val="21"/>
          <w:lang w:val="en-US" w:eastAsia="zh-CN"/>
        </w:rPr>
        <w:tab/>
      </w:r>
      <w:r>
        <w:rPr>
          <w:rFonts w:hint="eastAsia"/>
          <w:kern w:val="2"/>
          <w:sz w:val="21"/>
          <w:lang w:val="en-US" w:eastAsia="zh-CN"/>
        </w:rPr>
        <w:t>Ericsson</w:t>
      </w:r>
    </w:p>
    <w:p w14:paraId="5498AAFF">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R4-2504739</w:t>
      </w:r>
      <w:r>
        <w:rPr>
          <w:rFonts w:hint="eastAsia"/>
          <w:kern w:val="2"/>
          <w:sz w:val="21"/>
          <w:lang w:val="en-US" w:eastAsia="zh-CN"/>
        </w:rPr>
        <w:tab/>
      </w:r>
      <w:r>
        <w:rPr>
          <w:rFonts w:hint="eastAsia"/>
          <w:kern w:val="2"/>
          <w:sz w:val="21"/>
          <w:lang w:val="en-US" w:eastAsia="zh-CN"/>
        </w:rPr>
        <w:t>Way Forward for [114bis][302] NR_BS_RF_Part1_E_EIRP</w:t>
      </w:r>
      <w:r>
        <w:rPr>
          <w:rFonts w:hint="eastAsia"/>
          <w:kern w:val="2"/>
          <w:sz w:val="21"/>
          <w:lang w:val="en-US" w:eastAsia="zh-CN"/>
        </w:rPr>
        <w:tab/>
      </w:r>
      <w:r>
        <w:rPr>
          <w:rFonts w:hint="eastAsia"/>
          <w:kern w:val="2"/>
          <w:sz w:val="21"/>
          <w:lang w:val="en-US" w:eastAsia="zh-CN"/>
        </w:rPr>
        <w:t>ZTE</w:t>
      </w:r>
    </w:p>
    <w:p w14:paraId="2A230A8C">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R4-2504740</w:t>
      </w:r>
      <w:r>
        <w:rPr>
          <w:rFonts w:hint="eastAsia"/>
          <w:kern w:val="2"/>
          <w:sz w:val="21"/>
          <w:lang w:val="en-US" w:eastAsia="zh-CN"/>
        </w:rPr>
        <w:tab/>
      </w:r>
      <w:r>
        <w:rPr>
          <w:rFonts w:hint="eastAsia"/>
          <w:kern w:val="2"/>
          <w:sz w:val="21"/>
          <w:lang w:val="en-US" w:eastAsia="zh-CN"/>
        </w:rPr>
        <w:t>Way Forward for [114bis][304] NR_BS_RF_Part3_OTA_TRP</w:t>
      </w:r>
      <w:r>
        <w:rPr>
          <w:rFonts w:hint="eastAsia"/>
          <w:kern w:val="2"/>
          <w:sz w:val="21"/>
          <w:lang w:val="en-US" w:eastAsia="zh-CN"/>
        </w:rPr>
        <w:tab/>
      </w:r>
      <w:r>
        <w:rPr>
          <w:rFonts w:hint="eastAsia"/>
          <w:kern w:val="2"/>
          <w:sz w:val="21"/>
          <w:lang w:val="en-US" w:eastAsia="zh-CN"/>
        </w:rPr>
        <w:t>ZTE</w:t>
      </w:r>
    </w:p>
    <w:p w14:paraId="106B1F0C">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R4-2504764</w:t>
      </w:r>
      <w:r>
        <w:rPr>
          <w:rFonts w:hint="eastAsia"/>
          <w:kern w:val="2"/>
          <w:sz w:val="21"/>
          <w:lang w:val="en-US" w:eastAsia="zh-CN"/>
        </w:rPr>
        <w:tab/>
      </w:r>
      <w:r>
        <w:rPr>
          <w:rFonts w:hint="eastAsia"/>
          <w:kern w:val="2"/>
          <w:sz w:val="21"/>
          <w:lang w:val="en-US" w:eastAsia="zh-CN"/>
        </w:rPr>
        <w:t>Draft CR to TR 38-908: Corrections and Improvements related to EEIRP</w:t>
      </w:r>
      <w:r>
        <w:rPr>
          <w:rFonts w:hint="eastAsia"/>
          <w:kern w:val="2"/>
          <w:sz w:val="21"/>
          <w:lang w:val="en-US" w:eastAsia="zh-CN"/>
        </w:rPr>
        <w:tab/>
      </w:r>
      <w:r>
        <w:rPr>
          <w:rFonts w:hint="eastAsia"/>
          <w:kern w:val="2"/>
          <w:sz w:val="21"/>
          <w:lang w:val="en-US" w:eastAsia="zh-CN"/>
        </w:rPr>
        <w:t>Ericsson</w:t>
      </w:r>
    </w:p>
    <w:p w14:paraId="7B2DEBD1">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R4-2504765</w:t>
      </w:r>
      <w:r>
        <w:rPr>
          <w:rFonts w:hint="eastAsia"/>
          <w:kern w:val="2"/>
          <w:sz w:val="21"/>
          <w:lang w:val="en-US" w:eastAsia="zh-CN"/>
        </w:rPr>
        <w:tab/>
      </w:r>
      <w:r>
        <w:rPr>
          <w:rFonts w:hint="eastAsia"/>
          <w:kern w:val="2"/>
          <w:sz w:val="21"/>
          <w:lang w:val="en-US" w:eastAsia="zh-CN"/>
        </w:rPr>
        <w:t>Draft CR to TS 38.141-2: Improvements related to Expected EIRP (EEIRP)</w:t>
      </w:r>
      <w:r>
        <w:rPr>
          <w:rFonts w:hint="eastAsia"/>
          <w:kern w:val="2"/>
          <w:sz w:val="21"/>
          <w:lang w:val="en-US" w:eastAsia="zh-CN"/>
        </w:rPr>
        <w:tab/>
      </w:r>
      <w:r>
        <w:rPr>
          <w:rFonts w:hint="eastAsia"/>
          <w:kern w:val="2"/>
          <w:sz w:val="21"/>
          <w:lang w:val="en-US" w:eastAsia="zh-CN"/>
        </w:rPr>
        <w:t>Ericsson</w:t>
      </w:r>
    </w:p>
    <w:p w14:paraId="6DED1D3C">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R4-2504766</w:t>
      </w:r>
      <w:r>
        <w:rPr>
          <w:rFonts w:hint="eastAsia"/>
          <w:kern w:val="2"/>
          <w:sz w:val="21"/>
          <w:lang w:val="en-US" w:eastAsia="zh-CN"/>
        </w:rPr>
        <w:tab/>
      </w:r>
      <w:r>
        <w:rPr>
          <w:rFonts w:hint="eastAsia"/>
          <w:kern w:val="2"/>
          <w:sz w:val="21"/>
          <w:lang w:val="en-US" w:eastAsia="zh-CN"/>
        </w:rPr>
        <w:t>Way Forward for Tx spurious emissions co-existence limits re-evaluation</w:t>
      </w:r>
      <w:r>
        <w:rPr>
          <w:rFonts w:hint="eastAsia"/>
          <w:kern w:val="2"/>
          <w:sz w:val="21"/>
          <w:lang w:val="en-US" w:eastAsia="zh-CN"/>
        </w:rPr>
        <w:tab/>
      </w:r>
      <w:r>
        <w:rPr>
          <w:rFonts w:hint="eastAsia"/>
          <w:kern w:val="2"/>
          <w:sz w:val="21"/>
          <w:lang w:val="en-US" w:eastAsia="zh-CN"/>
        </w:rPr>
        <w:t>Huawei</w:t>
      </w:r>
    </w:p>
    <w:p w14:paraId="770D738F">
      <w:pPr>
        <w:widowControl w:val="0"/>
        <w:numPr>
          <w:ilvl w:val="0"/>
          <w:numId w:val="28"/>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R4-2504769</w:t>
      </w:r>
      <w:r>
        <w:rPr>
          <w:rFonts w:hint="eastAsia"/>
          <w:kern w:val="2"/>
          <w:sz w:val="21"/>
          <w:lang w:val="en-US" w:eastAsia="zh-CN"/>
        </w:rPr>
        <w:tab/>
      </w:r>
      <w:r>
        <w:rPr>
          <w:rFonts w:hint="eastAsia"/>
          <w:kern w:val="2"/>
          <w:sz w:val="21"/>
          <w:lang w:val="en-US" w:eastAsia="zh-CN"/>
        </w:rPr>
        <w:t>Way Forward for Tx spurious emissions co-existence limits re-evaluation</w:t>
      </w:r>
      <w:r>
        <w:rPr>
          <w:rFonts w:hint="eastAsia"/>
          <w:kern w:val="2"/>
          <w:sz w:val="21"/>
          <w:lang w:val="en-US" w:eastAsia="zh-CN"/>
        </w:rPr>
        <w:tab/>
      </w:r>
      <w:r>
        <w:rPr>
          <w:rFonts w:hint="eastAsia"/>
          <w:kern w:val="2"/>
          <w:sz w:val="21"/>
          <w:lang w:val="en-US" w:eastAsia="zh-CN"/>
        </w:rPr>
        <w:t>Huawei</w:t>
      </w:r>
    </w:p>
    <w:p w14:paraId="0FD79EFF">
      <w:pPr>
        <w:widowControl w:val="0"/>
        <w:numPr>
          <w:ilvl w:val="0"/>
          <w:numId w:val="0"/>
        </w:numPr>
        <w:overflowPunct/>
        <w:autoSpaceDE/>
        <w:autoSpaceDN/>
        <w:adjustRightInd/>
        <w:spacing w:after="0"/>
        <w:jc w:val="both"/>
        <w:textAlignment w:val="auto"/>
        <w:rPr>
          <w:rFonts w:hint="eastAsia"/>
          <w:kern w:val="2"/>
          <w:sz w:val="21"/>
          <w:lang w:val="en-US" w:eastAsia="zh-CN"/>
        </w:rPr>
      </w:pPr>
    </w:p>
    <w:p w14:paraId="0569DE21">
      <w:pPr>
        <w:pStyle w:val="3"/>
        <w:ind w:left="0" w:firstLine="0"/>
        <w:rPr>
          <w:rFonts w:hint="eastAsia" w:eastAsiaTheme="minorEastAsia"/>
          <w:lang w:val="en-US" w:eastAsia="zh-CN"/>
        </w:rPr>
      </w:pPr>
      <w:r>
        <w:rPr>
          <w:rFonts w:hint="eastAsia" w:eastAsiaTheme="minorEastAsia"/>
          <w:lang w:eastAsia="zh-CN"/>
        </w:rPr>
        <w:t>RAN4#11</w:t>
      </w:r>
      <w:r>
        <w:rPr>
          <w:rFonts w:hint="eastAsia" w:eastAsiaTheme="minorEastAsia"/>
          <w:lang w:val="en-US" w:eastAsia="zh-CN"/>
        </w:rPr>
        <w:t>5</w:t>
      </w:r>
    </w:p>
    <w:p w14:paraId="72F6B70A">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R4-2506307</w:t>
      </w:r>
      <w:r>
        <w:rPr>
          <w:rFonts w:hint="default"/>
          <w:kern w:val="2"/>
          <w:sz w:val="21"/>
          <w:lang w:val="en-US" w:eastAsia="zh-CN"/>
        </w:rPr>
        <w:tab/>
      </w:r>
      <w:r>
        <w:rPr>
          <w:rFonts w:hint="default"/>
          <w:kern w:val="2"/>
          <w:sz w:val="21"/>
          <w:lang w:val="en-US" w:eastAsia="zh-CN"/>
        </w:rPr>
        <w:t>Overview of BS-to-BS coupling loss simulation results</w:t>
      </w:r>
      <w:r>
        <w:rPr>
          <w:rFonts w:hint="default"/>
          <w:kern w:val="2"/>
          <w:sz w:val="21"/>
          <w:lang w:val="en-US" w:eastAsia="zh-CN"/>
        </w:rPr>
        <w:tab/>
      </w:r>
      <w:r>
        <w:rPr>
          <w:rFonts w:hint="default"/>
          <w:kern w:val="2"/>
          <w:sz w:val="21"/>
          <w:lang w:val="en-US" w:eastAsia="zh-CN"/>
        </w:rPr>
        <w:t>Ericsson</w:t>
      </w:r>
    </w:p>
    <w:p w14:paraId="36DAA4CF">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R4-2506308</w:t>
      </w:r>
      <w:r>
        <w:rPr>
          <w:rFonts w:hint="default"/>
          <w:kern w:val="2"/>
          <w:sz w:val="21"/>
          <w:lang w:val="en-US" w:eastAsia="zh-CN"/>
        </w:rPr>
        <w:tab/>
      </w:r>
      <w:r>
        <w:rPr>
          <w:rFonts w:hint="default"/>
          <w:kern w:val="2"/>
          <w:sz w:val="21"/>
          <w:lang w:val="en-US" w:eastAsia="zh-CN"/>
        </w:rPr>
        <w:t>CR to TR 37.941: Addition of Rel-19 co-location requirement improvements in subclause 6.4</w:t>
      </w:r>
      <w:r>
        <w:rPr>
          <w:rFonts w:hint="default"/>
          <w:kern w:val="2"/>
          <w:sz w:val="21"/>
          <w:lang w:val="en-US" w:eastAsia="zh-CN"/>
        </w:rPr>
        <w:tab/>
      </w:r>
      <w:r>
        <w:rPr>
          <w:rFonts w:hint="default"/>
          <w:kern w:val="2"/>
          <w:sz w:val="21"/>
          <w:lang w:val="en-US" w:eastAsia="zh-CN"/>
        </w:rPr>
        <w:t>Ericsson</w:t>
      </w:r>
    </w:p>
    <w:p w14:paraId="0AC15719">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R4-2506309</w:t>
      </w:r>
      <w:r>
        <w:rPr>
          <w:rFonts w:hint="default"/>
          <w:kern w:val="2"/>
          <w:sz w:val="21"/>
          <w:lang w:val="en-US" w:eastAsia="zh-CN"/>
        </w:rPr>
        <w:tab/>
      </w:r>
      <w:r>
        <w:rPr>
          <w:rFonts w:hint="default"/>
          <w:kern w:val="2"/>
          <w:sz w:val="21"/>
          <w:lang w:val="en-US" w:eastAsia="zh-CN"/>
        </w:rPr>
        <w:t>CR to TS 38.104: Addition of missing row in applicability table for OTA spatial emission in sub-clause 4.6</w:t>
      </w:r>
      <w:r>
        <w:rPr>
          <w:rFonts w:hint="default"/>
          <w:kern w:val="2"/>
          <w:sz w:val="21"/>
          <w:lang w:val="en-US" w:eastAsia="zh-CN"/>
        </w:rPr>
        <w:tab/>
      </w:r>
      <w:r>
        <w:rPr>
          <w:rFonts w:hint="default"/>
          <w:kern w:val="2"/>
          <w:sz w:val="21"/>
          <w:lang w:val="en-US" w:eastAsia="zh-CN"/>
        </w:rPr>
        <w:t>Ericsson</w:t>
      </w:r>
    </w:p>
    <w:p w14:paraId="77397302">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R4-2506535</w:t>
      </w:r>
      <w:r>
        <w:rPr>
          <w:rFonts w:hint="default"/>
          <w:kern w:val="2"/>
          <w:sz w:val="21"/>
          <w:lang w:val="en-US" w:eastAsia="zh-CN"/>
        </w:rPr>
        <w:tab/>
      </w:r>
      <w:r>
        <w:rPr>
          <w:rFonts w:hint="default"/>
          <w:kern w:val="2"/>
          <w:sz w:val="21"/>
          <w:lang w:val="en-US" w:eastAsia="zh-CN"/>
        </w:rPr>
        <w:t>Views on BS FR1 transmitter co-existence spurious emission requirements</w:t>
      </w:r>
      <w:r>
        <w:rPr>
          <w:rFonts w:hint="default"/>
          <w:kern w:val="2"/>
          <w:sz w:val="21"/>
          <w:lang w:val="en-US" w:eastAsia="zh-CN"/>
        </w:rPr>
        <w:tab/>
      </w:r>
      <w:r>
        <w:rPr>
          <w:rFonts w:hint="default"/>
          <w:kern w:val="2"/>
          <w:sz w:val="21"/>
          <w:lang w:val="en-US" w:eastAsia="zh-CN"/>
        </w:rPr>
        <w:t>Qualcomm Germany</w:t>
      </w:r>
    </w:p>
    <w:p w14:paraId="64CA4816">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R4-2506933</w:t>
      </w:r>
      <w:r>
        <w:rPr>
          <w:rFonts w:hint="default"/>
          <w:kern w:val="2"/>
          <w:sz w:val="21"/>
          <w:lang w:val="en-US" w:eastAsia="zh-CN"/>
        </w:rPr>
        <w:tab/>
      </w:r>
      <w:r>
        <w:rPr>
          <w:rFonts w:hint="default"/>
          <w:kern w:val="2"/>
          <w:sz w:val="21"/>
          <w:lang w:val="en-US" w:eastAsia="zh-CN"/>
        </w:rPr>
        <w:t>Discussion on OTA test scope reduction</w:t>
      </w:r>
      <w:r>
        <w:rPr>
          <w:rFonts w:hint="default"/>
          <w:kern w:val="2"/>
          <w:sz w:val="21"/>
          <w:lang w:val="en-US" w:eastAsia="zh-CN"/>
        </w:rPr>
        <w:tab/>
      </w:r>
      <w:r>
        <w:rPr>
          <w:rFonts w:hint="default"/>
          <w:kern w:val="2"/>
          <w:sz w:val="21"/>
          <w:lang w:val="en-US" w:eastAsia="zh-CN"/>
        </w:rPr>
        <w:t>NEC</w:t>
      </w:r>
    </w:p>
    <w:p w14:paraId="30BDA195">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R4-2506934</w:t>
      </w:r>
      <w:r>
        <w:rPr>
          <w:rFonts w:hint="default"/>
          <w:kern w:val="2"/>
          <w:sz w:val="21"/>
          <w:lang w:val="en-US" w:eastAsia="zh-CN"/>
        </w:rPr>
        <w:tab/>
      </w:r>
      <w:r>
        <w:rPr>
          <w:rFonts w:hint="default"/>
          <w:kern w:val="2"/>
          <w:sz w:val="21"/>
          <w:lang w:val="en-US" w:eastAsia="zh-CN"/>
        </w:rPr>
        <w:t>CR to TS 38.104: Requirement set applicability table</w:t>
      </w:r>
      <w:r>
        <w:rPr>
          <w:rFonts w:hint="default"/>
          <w:kern w:val="2"/>
          <w:sz w:val="21"/>
          <w:lang w:val="en-US" w:eastAsia="zh-CN"/>
        </w:rPr>
        <w:tab/>
      </w:r>
      <w:r>
        <w:rPr>
          <w:rFonts w:hint="default"/>
          <w:kern w:val="2"/>
          <w:sz w:val="21"/>
          <w:lang w:val="en-US" w:eastAsia="zh-CN"/>
        </w:rPr>
        <w:t>NEC</w:t>
      </w:r>
    </w:p>
    <w:p w14:paraId="4414107B">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R4-2506935</w:t>
      </w:r>
      <w:r>
        <w:rPr>
          <w:rFonts w:hint="default"/>
          <w:kern w:val="2"/>
          <w:sz w:val="21"/>
          <w:lang w:val="en-US" w:eastAsia="zh-CN"/>
        </w:rPr>
        <w:tab/>
      </w:r>
      <w:r>
        <w:rPr>
          <w:rFonts w:hint="default"/>
          <w:kern w:val="2"/>
          <w:sz w:val="21"/>
          <w:lang w:val="en-US" w:eastAsia="zh-CN"/>
        </w:rPr>
        <w:t>CR to TS 38.141-2: Correction on the test procedure</w:t>
      </w:r>
      <w:r>
        <w:rPr>
          <w:rFonts w:hint="default"/>
          <w:kern w:val="2"/>
          <w:sz w:val="21"/>
          <w:lang w:val="en-US" w:eastAsia="zh-CN"/>
        </w:rPr>
        <w:tab/>
      </w:r>
      <w:r>
        <w:rPr>
          <w:rFonts w:hint="default"/>
          <w:kern w:val="2"/>
          <w:sz w:val="21"/>
          <w:lang w:val="en-US" w:eastAsia="zh-CN"/>
        </w:rPr>
        <w:t>NEC</w:t>
      </w:r>
    </w:p>
    <w:p w14:paraId="19924073">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R4-2506936</w:t>
      </w:r>
      <w:r>
        <w:rPr>
          <w:rFonts w:hint="default"/>
          <w:kern w:val="2"/>
          <w:sz w:val="21"/>
          <w:lang w:val="en-US" w:eastAsia="zh-CN"/>
        </w:rPr>
        <w:tab/>
      </w:r>
      <w:r>
        <w:rPr>
          <w:rFonts w:hint="default"/>
          <w:kern w:val="2"/>
          <w:sz w:val="21"/>
          <w:lang w:val="en-US" w:eastAsia="zh-CN"/>
        </w:rPr>
        <w:t>CR to TR 38.908: Correction on the test procedure</w:t>
      </w:r>
      <w:r>
        <w:rPr>
          <w:rFonts w:hint="default"/>
          <w:kern w:val="2"/>
          <w:sz w:val="21"/>
          <w:lang w:val="en-US" w:eastAsia="zh-CN"/>
        </w:rPr>
        <w:tab/>
      </w:r>
      <w:r>
        <w:rPr>
          <w:rFonts w:hint="default"/>
          <w:kern w:val="2"/>
          <w:sz w:val="21"/>
          <w:lang w:val="en-US" w:eastAsia="zh-CN"/>
        </w:rPr>
        <w:t>NEC</w:t>
      </w:r>
    </w:p>
    <w:p w14:paraId="21D44775">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R4-2507084</w:t>
      </w:r>
      <w:r>
        <w:rPr>
          <w:rFonts w:hint="default"/>
          <w:kern w:val="2"/>
          <w:sz w:val="21"/>
          <w:lang w:val="en-US" w:eastAsia="zh-CN"/>
        </w:rPr>
        <w:tab/>
      </w:r>
      <w:r>
        <w:rPr>
          <w:rFonts w:hint="default"/>
          <w:kern w:val="2"/>
          <w:sz w:val="21"/>
          <w:lang w:val="en-US" w:eastAsia="zh-CN"/>
        </w:rPr>
        <w:t>Simplification of BS TRP test methods</w:t>
      </w:r>
      <w:r>
        <w:rPr>
          <w:rFonts w:hint="default"/>
          <w:kern w:val="2"/>
          <w:sz w:val="21"/>
          <w:lang w:val="en-US" w:eastAsia="zh-CN"/>
        </w:rPr>
        <w:tab/>
      </w:r>
      <w:r>
        <w:rPr>
          <w:rFonts w:hint="default"/>
          <w:kern w:val="2"/>
          <w:sz w:val="21"/>
          <w:lang w:val="en-US" w:eastAsia="zh-CN"/>
        </w:rPr>
        <w:t>Nokia</w:t>
      </w:r>
    </w:p>
    <w:p w14:paraId="077373A0">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R4-2507154</w:t>
      </w:r>
      <w:r>
        <w:rPr>
          <w:rFonts w:hint="default"/>
          <w:kern w:val="2"/>
          <w:sz w:val="21"/>
          <w:lang w:val="en-US" w:eastAsia="zh-CN"/>
        </w:rPr>
        <w:tab/>
      </w:r>
      <w:r>
        <w:rPr>
          <w:rFonts w:hint="default"/>
          <w:kern w:val="2"/>
          <w:sz w:val="21"/>
          <w:lang w:val="en-US" w:eastAsia="zh-CN"/>
        </w:rPr>
        <w:t>CR to TS 38.141-2: improvements related to Expected EIRP for band n104</w:t>
      </w:r>
      <w:r>
        <w:rPr>
          <w:rFonts w:hint="default"/>
          <w:kern w:val="2"/>
          <w:sz w:val="21"/>
          <w:lang w:val="en-US" w:eastAsia="zh-CN"/>
        </w:rPr>
        <w:tab/>
      </w:r>
      <w:r>
        <w:rPr>
          <w:rFonts w:hint="default"/>
          <w:kern w:val="2"/>
          <w:sz w:val="21"/>
          <w:lang w:val="en-US" w:eastAsia="zh-CN"/>
        </w:rPr>
        <w:t>Ericsson</w:t>
      </w:r>
    </w:p>
    <w:p w14:paraId="72B3EB8A">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R4-2507155</w:t>
      </w:r>
      <w:r>
        <w:rPr>
          <w:rFonts w:hint="default"/>
          <w:kern w:val="2"/>
          <w:sz w:val="21"/>
          <w:lang w:val="en-US" w:eastAsia="zh-CN"/>
        </w:rPr>
        <w:tab/>
      </w:r>
      <w:r>
        <w:rPr>
          <w:rFonts w:hint="default"/>
          <w:kern w:val="2"/>
          <w:sz w:val="21"/>
          <w:lang w:val="en-US" w:eastAsia="zh-CN"/>
        </w:rPr>
        <w:t>Discussion and text proposal on improvement of TRP measurement methods in Annex I in TS 38.104</w:t>
      </w:r>
      <w:r>
        <w:rPr>
          <w:rFonts w:hint="default"/>
          <w:kern w:val="2"/>
          <w:sz w:val="21"/>
          <w:lang w:val="en-US" w:eastAsia="zh-CN"/>
        </w:rPr>
        <w:tab/>
      </w:r>
      <w:r>
        <w:rPr>
          <w:rFonts w:hint="default"/>
          <w:kern w:val="2"/>
          <w:sz w:val="21"/>
          <w:lang w:val="en-US" w:eastAsia="zh-CN"/>
        </w:rPr>
        <w:t>Ericsson</w:t>
      </w:r>
    </w:p>
    <w:p w14:paraId="497680B4">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R4-2507244</w:t>
      </w:r>
      <w:r>
        <w:rPr>
          <w:rFonts w:hint="default"/>
          <w:kern w:val="2"/>
          <w:sz w:val="21"/>
          <w:lang w:val="en-US" w:eastAsia="zh-CN"/>
        </w:rPr>
        <w:tab/>
      </w:r>
      <w:r>
        <w:rPr>
          <w:rFonts w:hint="default"/>
          <w:kern w:val="2"/>
          <w:sz w:val="21"/>
          <w:lang w:val="en-US" w:eastAsia="zh-CN"/>
        </w:rPr>
        <w:t>CR to TS 38.106 for introduction of expected EIRP mask core requirement for NCR</w:t>
      </w:r>
      <w:r>
        <w:rPr>
          <w:rFonts w:hint="default"/>
          <w:kern w:val="2"/>
          <w:sz w:val="21"/>
          <w:lang w:val="en-US" w:eastAsia="zh-CN"/>
        </w:rPr>
        <w:tab/>
      </w:r>
      <w:r>
        <w:rPr>
          <w:rFonts w:hint="default"/>
          <w:kern w:val="2"/>
          <w:sz w:val="21"/>
          <w:lang w:val="en-US" w:eastAsia="zh-CN"/>
        </w:rPr>
        <w:t>Nokia, ZTE Corporation, Ericsson, Huawei, Samsung, Qualcomm, CATT</w:t>
      </w:r>
    </w:p>
    <w:p w14:paraId="5DAB119D">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R4-2507245</w:t>
      </w:r>
      <w:r>
        <w:rPr>
          <w:rFonts w:hint="default"/>
          <w:kern w:val="2"/>
          <w:sz w:val="21"/>
          <w:lang w:val="en-US" w:eastAsia="zh-CN"/>
        </w:rPr>
        <w:tab/>
      </w:r>
      <w:r>
        <w:rPr>
          <w:rFonts w:hint="default"/>
          <w:kern w:val="2"/>
          <w:sz w:val="21"/>
          <w:lang w:val="en-US" w:eastAsia="zh-CN"/>
        </w:rPr>
        <w:t>On BS OTA test scope reduction</w:t>
      </w:r>
      <w:r>
        <w:rPr>
          <w:rFonts w:hint="default"/>
          <w:kern w:val="2"/>
          <w:sz w:val="21"/>
          <w:lang w:val="en-US" w:eastAsia="zh-CN"/>
        </w:rPr>
        <w:tab/>
      </w:r>
      <w:r>
        <w:rPr>
          <w:rFonts w:hint="default"/>
          <w:kern w:val="2"/>
          <w:sz w:val="21"/>
          <w:lang w:val="en-US" w:eastAsia="zh-CN"/>
        </w:rPr>
        <w:t>Nokia</w:t>
      </w:r>
    </w:p>
    <w:p w14:paraId="0521BB65">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R4-2507246</w:t>
      </w:r>
      <w:r>
        <w:rPr>
          <w:rFonts w:hint="default"/>
          <w:kern w:val="2"/>
          <w:sz w:val="21"/>
          <w:lang w:val="en-US" w:eastAsia="zh-CN"/>
        </w:rPr>
        <w:tab/>
      </w:r>
      <w:r>
        <w:rPr>
          <w:rFonts w:hint="default"/>
          <w:kern w:val="2"/>
          <w:sz w:val="21"/>
          <w:lang w:val="en-US" w:eastAsia="zh-CN"/>
        </w:rPr>
        <w:t>Draft CR to TR 38.908 with improvements and updates</w:t>
      </w:r>
      <w:r>
        <w:rPr>
          <w:rFonts w:hint="default"/>
          <w:kern w:val="2"/>
          <w:sz w:val="21"/>
          <w:lang w:val="en-US" w:eastAsia="zh-CN"/>
        </w:rPr>
        <w:tab/>
      </w:r>
      <w:r>
        <w:rPr>
          <w:rFonts w:hint="default"/>
          <w:kern w:val="2"/>
          <w:sz w:val="21"/>
          <w:lang w:val="en-US" w:eastAsia="zh-CN"/>
        </w:rPr>
        <w:t>Nokia</w:t>
      </w:r>
    </w:p>
    <w:p w14:paraId="26D67A6D">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R4-2507247</w:t>
      </w:r>
      <w:r>
        <w:rPr>
          <w:rFonts w:hint="default"/>
          <w:kern w:val="2"/>
          <w:sz w:val="21"/>
          <w:lang w:val="en-US" w:eastAsia="zh-CN"/>
        </w:rPr>
        <w:tab/>
      </w:r>
      <w:r>
        <w:rPr>
          <w:rFonts w:hint="default"/>
          <w:kern w:val="2"/>
          <w:sz w:val="21"/>
          <w:lang w:val="en-US" w:eastAsia="zh-CN"/>
        </w:rPr>
        <w:t>Draft CR to TS 38.141-2 with updates to OTA spatial emission requirement</w:t>
      </w:r>
      <w:r>
        <w:rPr>
          <w:rFonts w:hint="default"/>
          <w:kern w:val="2"/>
          <w:sz w:val="21"/>
          <w:lang w:val="en-US" w:eastAsia="zh-CN"/>
        </w:rPr>
        <w:tab/>
      </w:r>
      <w:r>
        <w:rPr>
          <w:rFonts w:hint="default"/>
          <w:kern w:val="2"/>
          <w:sz w:val="21"/>
          <w:lang w:val="en-US" w:eastAsia="zh-CN"/>
        </w:rPr>
        <w:t>Nokia</w:t>
      </w:r>
    </w:p>
    <w:p w14:paraId="5CF0254A">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R4-2507248</w:t>
      </w:r>
      <w:r>
        <w:rPr>
          <w:rFonts w:hint="default"/>
          <w:kern w:val="2"/>
          <w:sz w:val="21"/>
          <w:lang w:val="en-US" w:eastAsia="zh-CN"/>
        </w:rPr>
        <w:tab/>
      </w:r>
      <w:r>
        <w:rPr>
          <w:rFonts w:hint="default"/>
          <w:kern w:val="2"/>
          <w:sz w:val="21"/>
          <w:lang w:val="en-US" w:eastAsia="zh-CN"/>
        </w:rPr>
        <w:t>CR to TS 38.115-2 for introduction of expected EIRP mask conformance test for NCR</w:t>
      </w:r>
      <w:r>
        <w:rPr>
          <w:rFonts w:hint="default"/>
          <w:kern w:val="2"/>
          <w:sz w:val="21"/>
          <w:lang w:val="en-US" w:eastAsia="zh-CN"/>
        </w:rPr>
        <w:tab/>
      </w:r>
      <w:r>
        <w:rPr>
          <w:rFonts w:hint="default"/>
          <w:kern w:val="2"/>
          <w:sz w:val="21"/>
          <w:lang w:val="en-US" w:eastAsia="zh-CN"/>
        </w:rPr>
        <w:t>Nokia</w:t>
      </w:r>
    </w:p>
    <w:p w14:paraId="119E947E">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R4-2507445</w:t>
      </w:r>
      <w:r>
        <w:rPr>
          <w:rFonts w:hint="default"/>
          <w:kern w:val="2"/>
          <w:sz w:val="21"/>
          <w:lang w:val="en-US" w:eastAsia="zh-CN"/>
        </w:rPr>
        <w:tab/>
      </w:r>
      <w:r>
        <w:rPr>
          <w:rFonts w:hint="default"/>
          <w:kern w:val="2"/>
          <w:sz w:val="21"/>
          <w:lang w:val="en-US" w:eastAsia="zh-CN"/>
        </w:rPr>
        <w:t>Discussion on CLTA-related aspects</w:t>
      </w:r>
      <w:r>
        <w:rPr>
          <w:rFonts w:hint="default"/>
          <w:kern w:val="2"/>
          <w:sz w:val="21"/>
          <w:lang w:val="en-US" w:eastAsia="zh-CN"/>
        </w:rPr>
        <w:tab/>
      </w:r>
      <w:r>
        <w:rPr>
          <w:rFonts w:hint="default"/>
          <w:kern w:val="2"/>
          <w:sz w:val="21"/>
          <w:lang w:val="en-US" w:eastAsia="zh-CN"/>
        </w:rPr>
        <w:t>Huawei, HiSilicon</w:t>
      </w:r>
    </w:p>
    <w:p w14:paraId="10BFBD26">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R4-2507446</w:t>
      </w:r>
      <w:r>
        <w:rPr>
          <w:rFonts w:hint="default"/>
          <w:kern w:val="2"/>
          <w:sz w:val="21"/>
          <w:lang w:val="en-US" w:eastAsia="zh-CN"/>
        </w:rPr>
        <w:tab/>
      </w:r>
      <w:r>
        <w:rPr>
          <w:rFonts w:hint="default"/>
          <w:kern w:val="2"/>
          <w:sz w:val="21"/>
          <w:lang w:val="en-US" w:eastAsia="zh-CN"/>
        </w:rPr>
        <w:t>Tx spurious emissions co-existence limits re-evaluation</w:t>
      </w:r>
      <w:r>
        <w:rPr>
          <w:rFonts w:hint="default"/>
          <w:kern w:val="2"/>
          <w:sz w:val="21"/>
          <w:lang w:val="en-US" w:eastAsia="zh-CN"/>
        </w:rPr>
        <w:tab/>
      </w:r>
      <w:r>
        <w:rPr>
          <w:rFonts w:hint="default"/>
          <w:kern w:val="2"/>
          <w:sz w:val="21"/>
          <w:lang w:val="en-US" w:eastAsia="zh-CN"/>
        </w:rPr>
        <w:t>Huawei, HiSilicon</w:t>
      </w:r>
    </w:p>
    <w:p w14:paraId="06070F20">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R4-2507447</w:t>
      </w:r>
      <w:r>
        <w:rPr>
          <w:rFonts w:hint="default"/>
          <w:kern w:val="2"/>
          <w:sz w:val="21"/>
          <w:lang w:val="en-US" w:eastAsia="zh-CN"/>
        </w:rPr>
        <w:tab/>
      </w:r>
      <w:r>
        <w:rPr>
          <w:rFonts w:hint="default"/>
          <w:kern w:val="2"/>
          <w:sz w:val="21"/>
          <w:lang w:val="en-US" w:eastAsia="zh-CN"/>
        </w:rPr>
        <w:t>Draft CR to TR 37.941: Background and motivation for CLTA alternatives discussion</w:t>
      </w:r>
      <w:r>
        <w:rPr>
          <w:rFonts w:hint="default"/>
          <w:kern w:val="2"/>
          <w:sz w:val="21"/>
          <w:lang w:val="en-US" w:eastAsia="zh-CN"/>
        </w:rPr>
        <w:tab/>
      </w:r>
      <w:r>
        <w:rPr>
          <w:rFonts w:hint="default"/>
          <w:kern w:val="2"/>
          <w:sz w:val="21"/>
          <w:lang w:val="en-US" w:eastAsia="zh-CN"/>
        </w:rPr>
        <w:t>Huawei, HiSilicon</w:t>
      </w:r>
    </w:p>
    <w:p w14:paraId="7DA8F22A">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R4-2507448</w:t>
      </w:r>
      <w:r>
        <w:rPr>
          <w:rFonts w:hint="default"/>
          <w:kern w:val="2"/>
          <w:sz w:val="21"/>
          <w:lang w:val="en-US" w:eastAsia="zh-CN"/>
        </w:rPr>
        <w:tab/>
      </w:r>
      <w:r>
        <w:rPr>
          <w:rFonts w:hint="default"/>
          <w:kern w:val="2"/>
          <w:sz w:val="21"/>
          <w:lang w:val="en-US" w:eastAsia="zh-CN"/>
        </w:rPr>
        <w:t>Further discussion on European Commission’s feedback wrt. alternative test methods</w:t>
      </w:r>
      <w:r>
        <w:rPr>
          <w:rFonts w:hint="default"/>
          <w:kern w:val="2"/>
          <w:sz w:val="21"/>
          <w:lang w:val="en-US" w:eastAsia="zh-CN"/>
        </w:rPr>
        <w:tab/>
      </w:r>
      <w:r>
        <w:rPr>
          <w:rFonts w:hint="default"/>
          <w:kern w:val="2"/>
          <w:sz w:val="21"/>
          <w:lang w:val="en-US" w:eastAsia="zh-CN"/>
        </w:rPr>
        <w:t>Huawei, HiSilicon</w:t>
      </w:r>
    </w:p>
    <w:p w14:paraId="3FE5CA6C">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R4-2507468</w:t>
      </w:r>
      <w:r>
        <w:rPr>
          <w:rFonts w:hint="default"/>
          <w:kern w:val="2"/>
          <w:sz w:val="21"/>
          <w:lang w:val="en-US" w:eastAsia="zh-CN"/>
        </w:rPr>
        <w:tab/>
      </w:r>
      <w:r>
        <w:rPr>
          <w:rFonts w:hint="default"/>
          <w:kern w:val="2"/>
          <w:sz w:val="21"/>
          <w:lang w:val="en-US" w:eastAsia="zh-CN"/>
        </w:rPr>
        <w:t>Big CR to TR 37.941: Rel-19 CLTA-related agreements</w:t>
      </w:r>
      <w:r>
        <w:rPr>
          <w:rFonts w:hint="default"/>
          <w:kern w:val="2"/>
          <w:sz w:val="21"/>
          <w:lang w:val="en-US" w:eastAsia="zh-CN"/>
        </w:rPr>
        <w:tab/>
      </w:r>
      <w:r>
        <w:rPr>
          <w:rFonts w:hint="default"/>
          <w:kern w:val="2"/>
          <w:sz w:val="21"/>
          <w:lang w:val="en-US" w:eastAsia="zh-CN"/>
        </w:rPr>
        <w:t>Huawei, HiSilicon</w:t>
      </w:r>
    </w:p>
    <w:p w14:paraId="54987BA7">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R4-2507511</w:t>
      </w:r>
      <w:r>
        <w:rPr>
          <w:rFonts w:hint="default"/>
          <w:kern w:val="2"/>
          <w:sz w:val="21"/>
          <w:lang w:val="en-US" w:eastAsia="zh-CN"/>
        </w:rPr>
        <w:tab/>
      </w:r>
      <w:r>
        <w:rPr>
          <w:rFonts w:hint="default"/>
          <w:kern w:val="2"/>
          <w:sz w:val="21"/>
          <w:lang w:val="en-US" w:eastAsia="zh-CN"/>
        </w:rPr>
        <w:t>Further discussion on OTA test enhancement</w:t>
      </w:r>
      <w:r>
        <w:rPr>
          <w:rFonts w:hint="default"/>
          <w:kern w:val="2"/>
          <w:sz w:val="21"/>
          <w:lang w:val="en-US" w:eastAsia="zh-CN"/>
        </w:rPr>
        <w:tab/>
      </w:r>
      <w:r>
        <w:rPr>
          <w:rFonts w:hint="default"/>
          <w:kern w:val="2"/>
          <w:sz w:val="21"/>
          <w:lang w:val="en-US" w:eastAsia="zh-CN"/>
        </w:rPr>
        <w:t>ZTE Corporation, Sanechips</w:t>
      </w:r>
    </w:p>
    <w:p w14:paraId="32D138E7">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R4-2507512</w:t>
      </w:r>
      <w:r>
        <w:rPr>
          <w:rFonts w:hint="default"/>
          <w:kern w:val="2"/>
          <w:sz w:val="21"/>
          <w:lang w:val="en-US" w:eastAsia="zh-CN"/>
        </w:rPr>
        <w:tab/>
      </w:r>
      <w:r>
        <w:rPr>
          <w:rFonts w:hint="default"/>
          <w:kern w:val="2"/>
          <w:sz w:val="21"/>
          <w:lang w:val="en-US" w:eastAsia="zh-CN"/>
        </w:rPr>
        <w:t>Draft CR to TR 37.941: Impact of BS-to-BS isolation analysis on the legacy co-location requirements</w:t>
      </w:r>
      <w:r>
        <w:rPr>
          <w:rFonts w:hint="default"/>
          <w:kern w:val="2"/>
          <w:sz w:val="21"/>
          <w:lang w:val="en-US" w:eastAsia="zh-CN"/>
        </w:rPr>
        <w:tab/>
      </w:r>
      <w:r>
        <w:rPr>
          <w:rFonts w:hint="default"/>
          <w:kern w:val="2"/>
          <w:sz w:val="21"/>
          <w:lang w:val="en-US" w:eastAsia="zh-CN"/>
        </w:rPr>
        <w:t>ZTE Corporation, Sanechips</w:t>
      </w:r>
    </w:p>
    <w:p w14:paraId="3D4AF1AC">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R4-2507513</w:t>
      </w:r>
      <w:r>
        <w:rPr>
          <w:rFonts w:hint="default"/>
          <w:kern w:val="2"/>
          <w:sz w:val="21"/>
          <w:lang w:val="en-US" w:eastAsia="zh-CN"/>
        </w:rPr>
        <w:tab/>
      </w:r>
      <w:r>
        <w:rPr>
          <w:rFonts w:hint="default"/>
          <w:kern w:val="2"/>
          <w:sz w:val="21"/>
          <w:lang w:val="en-US" w:eastAsia="zh-CN"/>
        </w:rPr>
        <w:t>Further discussion on Coexistence spurious emission requirements</w:t>
      </w:r>
      <w:r>
        <w:rPr>
          <w:rFonts w:hint="default"/>
          <w:kern w:val="2"/>
          <w:sz w:val="21"/>
          <w:lang w:val="en-US" w:eastAsia="zh-CN"/>
        </w:rPr>
        <w:tab/>
      </w:r>
      <w:r>
        <w:rPr>
          <w:rFonts w:hint="default"/>
          <w:kern w:val="2"/>
          <w:sz w:val="21"/>
          <w:lang w:val="en-US" w:eastAsia="zh-CN"/>
        </w:rPr>
        <w:t>ZTE Corporation, Sanechips</w:t>
      </w:r>
    </w:p>
    <w:p w14:paraId="1AE9B34A">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R4-2507514</w:t>
      </w:r>
      <w:r>
        <w:rPr>
          <w:rFonts w:hint="default"/>
          <w:kern w:val="2"/>
          <w:sz w:val="21"/>
          <w:lang w:val="en-US" w:eastAsia="zh-CN"/>
        </w:rPr>
        <w:tab/>
      </w:r>
      <w:r>
        <w:rPr>
          <w:rFonts w:hint="default"/>
          <w:kern w:val="2"/>
          <w:sz w:val="21"/>
          <w:lang w:val="en-US" w:eastAsia="zh-CN"/>
        </w:rPr>
        <w:t>Discussion on conformance testing for U6GHz BS EEIRP mask</w:t>
      </w:r>
      <w:r>
        <w:rPr>
          <w:rFonts w:hint="default"/>
          <w:kern w:val="2"/>
          <w:sz w:val="21"/>
          <w:lang w:val="en-US" w:eastAsia="zh-CN"/>
        </w:rPr>
        <w:tab/>
      </w:r>
      <w:r>
        <w:rPr>
          <w:rFonts w:hint="default"/>
          <w:kern w:val="2"/>
          <w:sz w:val="21"/>
          <w:lang w:val="en-US" w:eastAsia="zh-CN"/>
        </w:rPr>
        <w:t>ZTE Corporation, Sanechips</w:t>
      </w:r>
    </w:p>
    <w:p w14:paraId="13C61FE3">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R4-2507515</w:t>
      </w:r>
      <w:r>
        <w:rPr>
          <w:rFonts w:hint="default"/>
          <w:kern w:val="2"/>
          <w:sz w:val="21"/>
          <w:lang w:val="en-US" w:eastAsia="zh-CN"/>
        </w:rPr>
        <w:tab/>
      </w:r>
      <w:r>
        <w:rPr>
          <w:rFonts w:hint="default"/>
          <w:kern w:val="2"/>
          <w:sz w:val="21"/>
          <w:lang w:val="en-US" w:eastAsia="zh-CN"/>
        </w:rPr>
        <w:t>CR to TS 38.908: MU and others</w:t>
      </w:r>
      <w:r>
        <w:rPr>
          <w:rFonts w:hint="default"/>
          <w:kern w:val="2"/>
          <w:sz w:val="21"/>
          <w:lang w:val="en-US" w:eastAsia="zh-CN"/>
        </w:rPr>
        <w:tab/>
      </w:r>
      <w:r>
        <w:rPr>
          <w:rFonts w:hint="default"/>
          <w:kern w:val="2"/>
          <w:sz w:val="21"/>
          <w:lang w:val="en-US" w:eastAsia="zh-CN"/>
        </w:rPr>
        <w:t>ZTE Corporation, Sanechips</w:t>
      </w:r>
    </w:p>
    <w:p w14:paraId="0CBF34FA">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R4-2507516</w:t>
      </w:r>
      <w:r>
        <w:rPr>
          <w:rFonts w:hint="default"/>
          <w:kern w:val="2"/>
          <w:sz w:val="21"/>
          <w:lang w:val="en-US" w:eastAsia="zh-CN"/>
        </w:rPr>
        <w:tab/>
      </w:r>
      <w:r>
        <w:rPr>
          <w:rFonts w:hint="default"/>
          <w:kern w:val="2"/>
          <w:sz w:val="21"/>
          <w:lang w:val="en-US" w:eastAsia="zh-CN"/>
        </w:rPr>
        <w:t>Discussion on the OTA testing scope reduction</w:t>
      </w:r>
      <w:r>
        <w:rPr>
          <w:rFonts w:hint="default"/>
          <w:kern w:val="2"/>
          <w:sz w:val="21"/>
          <w:lang w:val="en-US" w:eastAsia="zh-CN"/>
        </w:rPr>
        <w:tab/>
      </w:r>
      <w:r>
        <w:rPr>
          <w:rFonts w:hint="default"/>
          <w:kern w:val="2"/>
          <w:sz w:val="21"/>
          <w:lang w:val="en-US" w:eastAsia="zh-CN"/>
        </w:rPr>
        <w:t>ZTE Corporation, Sanechips</w:t>
      </w:r>
    </w:p>
    <w:p w14:paraId="7AB4DD4F">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R4-2507517</w:t>
      </w:r>
      <w:r>
        <w:rPr>
          <w:rFonts w:hint="default"/>
          <w:kern w:val="2"/>
          <w:sz w:val="21"/>
          <w:lang w:val="en-US" w:eastAsia="zh-CN"/>
        </w:rPr>
        <w:tab/>
      </w:r>
      <w:r>
        <w:rPr>
          <w:rFonts w:hint="default"/>
          <w:kern w:val="2"/>
          <w:sz w:val="21"/>
          <w:lang w:val="en-US" w:eastAsia="zh-CN"/>
        </w:rPr>
        <w:t>Discussion on the applicability improvement of TRP measurement</w:t>
      </w:r>
      <w:r>
        <w:rPr>
          <w:rFonts w:hint="default"/>
          <w:kern w:val="2"/>
          <w:sz w:val="21"/>
          <w:lang w:val="en-US" w:eastAsia="zh-CN"/>
        </w:rPr>
        <w:tab/>
      </w:r>
      <w:r>
        <w:rPr>
          <w:rFonts w:hint="default"/>
          <w:kern w:val="2"/>
          <w:sz w:val="21"/>
          <w:lang w:val="en-US" w:eastAsia="zh-CN"/>
        </w:rPr>
        <w:t>ZTE Corporation, Sanechips</w:t>
      </w:r>
    </w:p>
    <w:p w14:paraId="602725CB">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R4-2507633</w:t>
      </w:r>
      <w:r>
        <w:rPr>
          <w:rFonts w:hint="default"/>
          <w:kern w:val="2"/>
          <w:sz w:val="21"/>
          <w:lang w:val="en-US" w:eastAsia="zh-CN"/>
        </w:rPr>
        <w:tab/>
      </w:r>
      <w:r>
        <w:rPr>
          <w:rFonts w:hint="default"/>
          <w:kern w:val="2"/>
          <w:sz w:val="21"/>
          <w:lang w:val="en-US" w:eastAsia="zh-CN"/>
        </w:rPr>
        <w:t>On OTA test enhancements</w:t>
      </w:r>
      <w:r>
        <w:rPr>
          <w:rFonts w:hint="default"/>
          <w:kern w:val="2"/>
          <w:sz w:val="21"/>
          <w:lang w:val="en-US" w:eastAsia="zh-CN"/>
        </w:rPr>
        <w:tab/>
      </w:r>
      <w:r>
        <w:rPr>
          <w:rFonts w:hint="default"/>
          <w:kern w:val="2"/>
          <w:sz w:val="21"/>
          <w:lang w:val="en-US" w:eastAsia="zh-CN"/>
        </w:rPr>
        <w:t>Nokia</w:t>
      </w:r>
    </w:p>
    <w:p w14:paraId="2C47A60D">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R4-2507634</w:t>
      </w:r>
      <w:r>
        <w:rPr>
          <w:rFonts w:hint="default"/>
          <w:kern w:val="2"/>
          <w:sz w:val="21"/>
          <w:lang w:val="en-US" w:eastAsia="zh-CN"/>
        </w:rPr>
        <w:tab/>
      </w:r>
      <w:r>
        <w:rPr>
          <w:rFonts w:hint="default"/>
          <w:kern w:val="2"/>
          <w:sz w:val="21"/>
          <w:lang w:val="en-US" w:eastAsia="zh-CN"/>
        </w:rPr>
        <w:t>DraftCR to TR 37.941 on CLTA alternatives - wideband horn antenna</w:t>
      </w:r>
      <w:r>
        <w:rPr>
          <w:rFonts w:hint="default"/>
          <w:kern w:val="2"/>
          <w:sz w:val="21"/>
          <w:lang w:val="en-US" w:eastAsia="zh-CN"/>
        </w:rPr>
        <w:tab/>
      </w:r>
      <w:r>
        <w:rPr>
          <w:rFonts w:hint="default"/>
          <w:kern w:val="2"/>
          <w:sz w:val="21"/>
          <w:lang w:val="en-US" w:eastAsia="zh-CN"/>
        </w:rPr>
        <w:t>Nokia</w:t>
      </w:r>
    </w:p>
    <w:p w14:paraId="0B80DDD9">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R4-2507635</w:t>
      </w:r>
      <w:r>
        <w:rPr>
          <w:rFonts w:hint="default"/>
          <w:kern w:val="2"/>
          <w:sz w:val="21"/>
          <w:lang w:val="en-US" w:eastAsia="zh-CN"/>
        </w:rPr>
        <w:tab/>
      </w:r>
      <w:r>
        <w:rPr>
          <w:rFonts w:hint="default"/>
          <w:kern w:val="2"/>
          <w:sz w:val="21"/>
          <w:lang w:val="en-US" w:eastAsia="zh-CN"/>
        </w:rPr>
        <w:t>On TX co-existence spurious emissions requirements</w:t>
      </w:r>
      <w:r>
        <w:rPr>
          <w:rFonts w:hint="default"/>
          <w:kern w:val="2"/>
          <w:sz w:val="21"/>
          <w:lang w:val="en-US" w:eastAsia="zh-CN"/>
        </w:rPr>
        <w:tab/>
      </w:r>
      <w:r>
        <w:rPr>
          <w:rFonts w:hint="default"/>
          <w:kern w:val="2"/>
          <w:sz w:val="21"/>
          <w:lang w:val="en-US" w:eastAsia="zh-CN"/>
        </w:rPr>
        <w:t>Nokia</w:t>
      </w:r>
    </w:p>
    <w:p w14:paraId="1B3C8A1A">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R4-2507670</w:t>
      </w:r>
      <w:r>
        <w:rPr>
          <w:rFonts w:hint="default"/>
          <w:kern w:val="2"/>
          <w:sz w:val="21"/>
          <w:lang w:val="en-US" w:eastAsia="zh-CN"/>
        </w:rPr>
        <w:tab/>
      </w:r>
      <w:r>
        <w:rPr>
          <w:rFonts w:hint="default"/>
          <w:kern w:val="2"/>
          <w:sz w:val="21"/>
          <w:lang w:val="en-US" w:eastAsia="zh-CN"/>
        </w:rPr>
        <w:t>On Transmitter Spurious Emission Co-existence discussion</w:t>
      </w:r>
      <w:r>
        <w:rPr>
          <w:rFonts w:hint="default"/>
          <w:kern w:val="2"/>
          <w:sz w:val="21"/>
          <w:lang w:val="en-US" w:eastAsia="zh-CN"/>
        </w:rPr>
        <w:tab/>
      </w:r>
      <w:r>
        <w:rPr>
          <w:rFonts w:hint="default"/>
          <w:kern w:val="2"/>
          <w:sz w:val="21"/>
          <w:lang w:val="en-US" w:eastAsia="zh-CN"/>
        </w:rPr>
        <w:t>Ericsson</w:t>
      </w:r>
    </w:p>
    <w:p w14:paraId="0FA5A555">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R4-2507677</w:t>
      </w:r>
      <w:r>
        <w:rPr>
          <w:rFonts w:hint="default"/>
          <w:kern w:val="2"/>
          <w:sz w:val="21"/>
          <w:lang w:val="en-US" w:eastAsia="zh-CN"/>
        </w:rPr>
        <w:tab/>
      </w:r>
      <w:r>
        <w:rPr>
          <w:rFonts w:hint="default"/>
          <w:kern w:val="2"/>
          <w:sz w:val="21"/>
          <w:lang w:val="en-US" w:eastAsia="zh-CN"/>
        </w:rPr>
        <w:t>On EEIRP equations and step size equations</w:t>
      </w:r>
      <w:r>
        <w:rPr>
          <w:rFonts w:hint="default"/>
          <w:kern w:val="2"/>
          <w:sz w:val="21"/>
          <w:lang w:val="en-US" w:eastAsia="zh-CN"/>
        </w:rPr>
        <w:tab/>
      </w:r>
      <w:r>
        <w:rPr>
          <w:rFonts w:hint="default"/>
          <w:kern w:val="2"/>
          <w:sz w:val="21"/>
          <w:lang w:val="en-US" w:eastAsia="zh-CN"/>
        </w:rPr>
        <w:t>Huawei, HiSilicon</w:t>
      </w:r>
    </w:p>
    <w:p w14:paraId="4A49E174">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R4-2507678</w:t>
      </w:r>
      <w:r>
        <w:rPr>
          <w:rFonts w:hint="default"/>
          <w:kern w:val="2"/>
          <w:sz w:val="21"/>
          <w:lang w:val="en-US" w:eastAsia="zh-CN"/>
        </w:rPr>
        <w:tab/>
      </w:r>
      <w:r>
        <w:rPr>
          <w:rFonts w:hint="default"/>
          <w:kern w:val="2"/>
          <w:sz w:val="21"/>
          <w:lang w:val="en-US" w:eastAsia="zh-CN"/>
        </w:rPr>
        <w:t>Draft CR to TS 38.908 corrctions</w:t>
      </w:r>
      <w:r>
        <w:rPr>
          <w:rFonts w:hint="default"/>
          <w:kern w:val="2"/>
          <w:sz w:val="21"/>
          <w:lang w:val="en-US" w:eastAsia="zh-CN"/>
        </w:rPr>
        <w:tab/>
      </w:r>
      <w:r>
        <w:rPr>
          <w:rFonts w:hint="default"/>
          <w:kern w:val="2"/>
          <w:sz w:val="21"/>
          <w:lang w:val="en-US" w:eastAsia="zh-CN"/>
        </w:rPr>
        <w:t>Huawei, HiSilicon</w:t>
      </w:r>
    </w:p>
    <w:p w14:paraId="373D13A5">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R4-2507679</w:t>
      </w:r>
      <w:r>
        <w:rPr>
          <w:rFonts w:hint="default"/>
          <w:kern w:val="2"/>
          <w:sz w:val="21"/>
          <w:lang w:val="en-US" w:eastAsia="zh-CN"/>
        </w:rPr>
        <w:tab/>
      </w:r>
      <w:r>
        <w:rPr>
          <w:rFonts w:hint="default"/>
          <w:kern w:val="2"/>
          <w:sz w:val="21"/>
          <w:lang w:val="en-US" w:eastAsia="zh-CN"/>
        </w:rPr>
        <w:t>Draft CR to TS 38.141-2 EEIRP measurement uncertainty and coordinate alignment</w:t>
      </w:r>
      <w:r>
        <w:rPr>
          <w:rFonts w:hint="default"/>
          <w:kern w:val="2"/>
          <w:sz w:val="21"/>
          <w:lang w:val="en-US" w:eastAsia="zh-CN"/>
        </w:rPr>
        <w:tab/>
      </w:r>
      <w:r>
        <w:rPr>
          <w:rFonts w:hint="default"/>
          <w:kern w:val="2"/>
          <w:sz w:val="21"/>
          <w:lang w:val="en-US" w:eastAsia="zh-CN"/>
        </w:rPr>
        <w:t>Huawei, HiSilicon</w:t>
      </w:r>
    </w:p>
    <w:p w14:paraId="78C92017">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R4-2507680</w:t>
      </w:r>
      <w:r>
        <w:rPr>
          <w:rFonts w:hint="default"/>
          <w:kern w:val="2"/>
          <w:sz w:val="21"/>
          <w:lang w:val="en-US" w:eastAsia="zh-CN"/>
        </w:rPr>
        <w:tab/>
      </w:r>
      <w:r>
        <w:rPr>
          <w:rFonts w:hint="default"/>
          <w:kern w:val="2"/>
          <w:sz w:val="21"/>
          <w:lang w:val="en-US" w:eastAsia="zh-CN"/>
        </w:rPr>
        <w:t>OTA test case reduction</w:t>
      </w:r>
      <w:r>
        <w:rPr>
          <w:rFonts w:hint="default"/>
          <w:kern w:val="2"/>
          <w:sz w:val="21"/>
          <w:lang w:val="en-US" w:eastAsia="zh-CN"/>
        </w:rPr>
        <w:tab/>
      </w:r>
      <w:r>
        <w:rPr>
          <w:rFonts w:hint="default"/>
          <w:kern w:val="2"/>
          <w:sz w:val="21"/>
          <w:lang w:val="en-US" w:eastAsia="zh-CN"/>
        </w:rPr>
        <w:t>Huawei, HiSilicon</w:t>
      </w:r>
    </w:p>
    <w:p w14:paraId="0E667F78">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R4-2507681</w:t>
      </w:r>
      <w:r>
        <w:rPr>
          <w:rFonts w:hint="default"/>
          <w:kern w:val="2"/>
          <w:sz w:val="21"/>
          <w:lang w:val="en-US" w:eastAsia="zh-CN"/>
        </w:rPr>
        <w:tab/>
      </w:r>
      <w:r>
        <w:rPr>
          <w:rFonts w:hint="default"/>
          <w:kern w:val="2"/>
          <w:sz w:val="21"/>
          <w:lang w:val="en-US" w:eastAsia="zh-CN"/>
        </w:rPr>
        <w:t>Draft CR to TS 38.141-2 OTA test case reduction for TX IM requirement</w:t>
      </w:r>
      <w:r>
        <w:rPr>
          <w:rFonts w:hint="default"/>
          <w:kern w:val="2"/>
          <w:sz w:val="21"/>
          <w:lang w:val="en-US" w:eastAsia="zh-CN"/>
        </w:rPr>
        <w:tab/>
      </w:r>
      <w:r>
        <w:rPr>
          <w:rFonts w:hint="default"/>
          <w:kern w:val="2"/>
          <w:sz w:val="21"/>
          <w:lang w:val="en-US" w:eastAsia="zh-CN"/>
        </w:rPr>
        <w:t>Huawei, HiSilicon</w:t>
      </w:r>
    </w:p>
    <w:p w14:paraId="0A25FA0B">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R4-2507729</w:t>
      </w:r>
      <w:r>
        <w:rPr>
          <w:rFonts w:hint="default"/>
          <w:kern w:val="2"/>
          <w:sz w:val="21"/>
          <w:lang w:val="en-US" w:eastAsia="zh-CN"/>
        </w:rPr>
        <w:tab/>
      </w:r>
      <w:r>
        <w:rPr>
          <w:rFonts w:hint="default"/>
          <w:kern w:val="2"/>
          <w:sz w:val="21"/>
          <w:lang w:val="en-US" w:eastAsia="zh-CN"/>
        </w:rPr>
        <w:t>OTA test scope reduction</w:t>
      </w:r>
      <w:r>
        <w:rPr>
          <w:rFonts w:hint="default"/>
          <w:kern w:val="2"/>
          <w:sz w:val="21"/>
          <w:lang w:val="en-US" w:eastAsia="zh-CN"/>
        </w:rPr>
        <w:tab/>
      </w:r>
      <w:r>
        <w:rPr>
          <w:rFonts w:hint="default"/>
          <w:kern w:val="2"/>
          <w:sz w:val="21"/>
          <w:lang w:val="en-US" w:eastAsia="zh-CN"/>
        </w:rPr>
        <w:t>Ericsson</w:t>
      </w:r>
    </w:p>
    <w:p w14:paraId="117DE18D">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R4-2507834</w:t>
      </w:r>
      <w:r>
        <w:rPr>
          <w:rFonts w:hint="default"/>
          <w:kern w:val="2"/>
          <w:sz w:val="21"/>
          <w:lang w:val="en-US" w:eastAsia="zh-CN"/>
        </w:rPr>
        <w:tab/>
      </w:r>
      <w:r>
        <w:rPr>
          <w:rFonts w:hint="default"/>
          <w:kern w:val="2"/>
          <w:sz w:val="21"/>
          <w:lang w:val="en-US" w:eastAsia="zh-CN"/>
        </w:rPr>
        <w:t>Topic summary for [115][302] NR_BS_RF_Part1_E_EIRP</w:t>
      </w:r>
      <w:r>
        <w:rPr>
          <w:rFonts w:hint="default"/>
          <w:kern w:val="2"/>
          <w:sz w:val="21"/>
          <w:lang w:val="en-US" w:eastAsia="zh-CN"/>
        </w:rPr>
        <w:tab/>
      </w:r>
      <w:r>
        <w:rPr>
          <w:rFonts w:hint="default"/>
          <w:kern w:val="2"/>
          <w:sz w:val="21"/>
          <w:lang w:val="en-US" w:eastAsia="zh-CN"/>
        </w:rPr>
        <w:t>Moderator (ZTE)</w:t>
      </w:r>
    </w:p>
    <w:p w14:paraId="14AD8BCA">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R4-2507835</w:t>
      </w:r>
      <w:r>
        <w:rPr>
          <w:rFonts w:hint="default"/>
          <w:kern w:val="2"/>
          <w:sz w:val="21"/>
          <w:lang w:val="en-US" w:eastAsia="zh-CN"/>
        </w:rPr>
        <w:tab/>
      </w:r>
      <w:r>
        <w:rPr>
          <w:rFonts w:hint="default"/>
          <w:kern w:val="2"/>
          <w:sz w:val="21"/>
          <w:lang w:val="en-US" w:eastAsia="zh-CN"/>
        </w:rPr>
        <w:t>Topic summary for [115][303] NR_BS_RF_Part2_CLTA_SE</w:t>
      </w:r>
      <w:r>
        <w:rPr>
          <w:rFonts w:hint="default"/>
          <w:kern w:val="2"/>
          <w:sz w:val="21"/>
          <w:lang w:val="en-US" w:eastAsia="zh-CN"/>
        </w:rPr>
        <w:tab/>
      </w:r>
      <w:r>
        <w:rPr>
          <w:rFonts w:hint="default"/>
          <w:kern w:val="2"/>
          <w:sz w:val="21"/>
          <w:lang w:val="en-US" w:eastAsia="zh-CN"/>
        </w:rPr>
        <w:t>Moderator (Huawei)</w:t>
      </w:r>
    </w:p>
    <w:p w14:paraId="19A556D0">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R4-2507836</w:t>
      </w:r>
      <w:r>
        <w:rPr>
          <w:rFonts w:hint="default"/>
          <w:kern w:val="2"/>
          <w:sz w:val="21"/>
          <w:lang w:val="en-US" w:eastAsia="zh-CN"/>
        </w:rPr>
        <w:tab/>
      </w:r>
      <w:r>
        <w:rPr>
          <w:rFonts w:hint="default"/>
          <w:kern w:val="2"/>
          <w:sz w:val="21"/>
          <w:lang w:val="en-US" w:eastAsia="zh-CN"/>
        </w:rPr>
        <w:t>Topic summary for [115][304] NR_BS_RF_Part3_OTA_TRP</w:t>
      </w:r>
      <w:r>
        <w:rPr>
          <w:rFonts w:hint="default"/>
          <w:kern w:val="2"/>
          <w:sz w:val="21"/>
          <w:lang w:val="en-US" w:eastAsia="zh-CN"/>
        </w:rPr>
        <w:tab/>
      </w:r>
      <w:r>
        <w:rPr>
          <w:rFonts w:hint="default"/>
          <w:kern w:val="2"/>
          <w:sz w:val="21"/>
          <w:lang w:val="en-US" w:eastAsia="zh-CN"/>
        </w:rPr>
        <w:t>Moderator (ZTE)</w:t>
      </w:r>
    </w:p>
    <w:p w14:paraId="1A4597F2">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R4-2507891</w:t>
      </w:r>
      <w:r>
        <w:rPr>
          <w:rFonts w:hint="default"/>
          <w:kern w:val="2"/>
          <w:sz w:val="21"/>
          <w:lang w:val="en-US" w:eastAsia="zh-CN"/>
        </w:rPr>
        <w:tab/>
      </w:r>
      <w:r>
        <w:rPr>
          <w:rFonts w:hint="default"/>
          <w:kern w:val="2"/>
          <w:sz w:val="21"/>
          <w:lang w:val="en-US" w:eastAsia="zh-CN"/>
        </w:rPr>
        <w:t>PWS MU to be updated for n104 band</w:t>
      </w:r>
      <w:r>
        <w:rPr>
          <w:rFonts w:hint="default"/>
          <w:kern w:val="2"/>
          <w:sz w:val="21"/>
          <w:lang w:val="en-US" w:eastAsia="zh-CN"/>
        </w:rPr>
        <w:tab/>
      </w:r>
      <w:r>
        <w:rPr>
          <w:rFonts w:hint="default"/>
          <w:kern w:val="2"/>
          <w:sz w:val="21"/>
          <w:lang w:val="en-US" w:eastAsia="zh-CN"/>
        </w:rPr>
        <w:t>ROHDE &amp; SCHWARZ</w:t>
      </w:r>
    </w:p>
    <w:p w14:paraId="413BB1E1">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R4-2508633</w:t>
      </w:r>
      <w:r>
        <w:rPr>
          <w:rFonts w:hint="default"/>
          <w:kern w:val="2"/>
          <w:sz w:val="21"/>
          <w:lang w:val="en-US" w:eastAsia="zh-CN"/>
        </w:rPr>
        <w:tab/>
      </w:r>
      <w:r>
        <w:rPr>
          <w:rFonts w:hint="default"/>
          <w:kern w:val="2"/>
          <w:sz w:val="21"/>
          <w:lang w:val="en-US" w:eastAsia="zh-CN"/>
        </w:rPr>
        <w:t>Ad-hoc meeting minutes for [115][302] NR_BS_RF_Part1_E_EIRP</w:t>
      </w:r>
      <w:r>
        <w:rPr>
          <w:rFonts w:hint="default"/>
          <w:kern w:val="2"/>
          <w:sz w:val="21"/>
          <w:lang w:val="en-US" w:eastAsia="zh-CN"/>
        </w:rPr>
        <w:tab/>
      </w:r>
      <w:r>
        <w:rPr>
          <w:rFonts w:hint="default"/>
          <w:kern w:val="2"/>
          <w:sz w:val="21"/>
          <w:lang w:val="en-US" w:eastAsia="zh-CN"/>
        </w:rPr>
        <w:t>ZTE</w:t>
      </w:r>
    </w:p>
    <w:p w14:paraId="72E357C7">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R4-2508634</w:t>
      </w:r>
      <w:r>
        <w:rPr>
          <w:rFonts w:hint="default"/>
          <w:kern w:val="2"/>
          <w:sz w:val="21"/>
          <w:lang w:val="en-US" w:eastAsia="zh-CN"/>
        </w:rPr>
        <w:tab/>
      </w:r>
      <w:r>
        <w:rPr>
          <w:rFonts w:hint="default"/>
          <w:kern w:val="2"/>
          <w:sz w:val="21"/>
          <w:lang w:val="en-US" w:eastAsia="zh-CN"/>
        </w:rPr>
        <w:t>Ad-hoc meeting minutes for [115][303] NR_BS_RF_Part2_CLTA_SE</w:t>
      </w:r>
      <w:r>
        <w:rPr>
          <w:rFonts w:hint="default"/>
          <w:kern w:val="2"/>
          <w:sz w:val="21"/>
          <w:lang w:val="en-US" w:eastAsia="zh-CN"/>
        </w:rPr>
        <w:tab/>
      </w:r>
      <w:r>
        <w:rPr>
          <w:rFonts w:hint="default"/>
          <w:kern w:val="2"/>
          <w:sz w:val="21"/>
          <w:lang w:val="en-US" w:eastAsia="zh-CN"/>
        </w:rPr>
        <w:t>Huawei</w:t>
      </w:r>
    </w:p>
    <w:p w14:paraId="19E6D516">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R4-2508651</w:t>
      </w:r>
      <w:r>
        <w:rPr>
          <w:rFonts w:hint="default"/>
          <w:kern w:val="2"/>
          <w:sz w:val="21"/>
          <w:lang w:val="en-US" w:eastAsia="zh-CN"/>
        </w:rPr>
        <w:tab/>
      </w:r>
      <w:r>
        <w:rPr>
          <w:rFonts w:hint="default"/>
          <w:kern w:val="2"/>
          <w:sz w:val="21"/>
          <w:lang w:val="en-US" w:eastAsia="zh-CN"/>
        </w:rPr>
        <w:t>CR to TS 38.104: Requirement set applicability table</w:t>
      </w:r>
      <w:r>
        <w:rPr>
          <w:rFonts w:hint="default"/>
          <w:kern w:val="2"/>
          <w:sz w:val="21"/>
          <w:lang w:val="en-US" w:eastAsia="zh-CN"/>
        </w:rPr>
        <w:tab/>
      </w:r>
      <w:r>
        <w:rPr>
          <w:rFonts w:hint="default"/>
          <w:kern w:val="2"/>
          <w:sz w:val="21"/>
          <w:lang w:val="en-US" w:eastAsia="zh-CN"/>
        </w:rPr>
        <w:t>NEC, Ericsson</w:t>
      </w:r>
    </w:p>
    <w:p w14:paraId="7F388516">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R4-2508652</w:t>
      </w:r>
      <w:r>
        <w:rPr>
          <w:rFonts w:hint="default"/>
          <w:kern w:val="2"/>
          <w:sz w:val="21"/>
          <w:lang w:val="en-US" w:eastAsia="zh-CN"/>
        </w:rPr>
        <w:tab/>
      </w:r>
      <w:r>
        <w:rPr>
          <w:rFonts w:hint="default"/>
          <w:kern w:val="2"/>
          <w:sz w:val="21"/>
          <w:lang w:val="en-US" w:eastAsia="zh-CN"/>
        </w:rPr>
        <w:t>CR to TS 38.106 for introduction of expected EIRP mask core requirement for NCR</w:t>
      </w:r>
      <w:r>
        <w:rPr>
          <w:rFonts w:hint="default"/>
          <w:kern w:val="2"/>
          <w:sz w:val="21"/>
          <w:lang w:val="en-US" w:eastAsia="zh-CN"/>
        </w:rPr>
        <w:tab/>
      </w:r>
      <w:r>
        <w:rPr>
          <w:rFonts w:hint="default"/>
          <w:kern w:val="2"/>
          <w:sz w:val="21"/>
          <w:lang w:val="en-US" w:eastAsia="zh-CN"/>
        </w:rPr>
        <w:t>Nokia, ZTE Corporation, Ericsson, Huawei, Samsung, Qualcomm, CATT</w:t>
      </w:r>
    </w:p>
    <w:p w14:paraId="6DE01091">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R4-2508653</w:t>
      </w:r>
      <w:r>
        <w:rPr>
          <w:rFonts w:hint="default"/>
          <w:kern w:val="2"/>
          <w:sz w:val="21"/>
          <w:lang w:val="en-US" w:eastAsia="zh-CN"/>
        </w:rPr>
        <w:tab/>
      </w:r>
      <w:r>
        <w:rPr>
          <w:rFonts w:hint="default"/>
          <w:kern w:val="2"/>
          <w:sz w:val="21"/>
          <w:lang w:val="en-US" w:eastAsia="zh-CN"/>
        </w:rPr>
        <w:t>CR to TR 38.908: MU and others</w:t>
      </w:r>
      <w:r>
        <w:rPr>
          <w:rFonts w:hint="default"/>
          <w:kern w:val="2"/>
          <w:sz w:val="21"/>
          <w:lang w:val="en-US" w:eastAsia="zh-CN"/>
        </w:rPr>
        <w:tab/>
      </w:r>
      <w:r>
        <w:rPr>
          <w:rFonts w:hint="default"/>
          <w:kern w:val="2"/>
          <w:sz w:val="21"/>
          <w:lang w:val="en-US" w:eastAsia="zh-CN"/>
        </w:rPr>
        <w:t>ZTE Corporation, Sanechips, Huawei, Rohde&amp;Schwarz, Ericsson,NEC,Nokia</w:t>
      </w:r>
    </w:p>
    <w:p w14:paraId="18AD1BC8">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R4-2508654</w:t>
      </w:r>
      <w:r>
        <w:rPr>
          <w:rFonts w:hint="default"/>
          <w:kern w:val="2"/>
          <w:sz w:val="21"/>
          <w:lang w:val="en-US" w:eastAsia="zh-CN"/>
        </w:rPr>
        <w:tab/>
      </w:r>
      <w:r>
        <w:rPr>
          <w:rFonts w:hint="default"/>
          <w:kern w:val="2"/>
          <w:sz w:val="21"/>
          <w:lang w:val="en-US" w:eastAsia="zh-CN"/>
        </w:rPr>
        <w:t>CR to TS 38.141-2: improvements related to Expected EIRP for band n104</w:t>
      </w:r>
      <w:r>
        <w:rPr>
          <w:rFonts w:hint="default"/>
          <w:kern w:val="2"/>
          <w:sz w:val="21"/>
          <w:lang w:val="en-US" w:eastAsia="zh-CN"/>
        </w:rPr>
        <w:tab/>
      </w:r>
      <w:r>
        <w:rPr>
          <w:rFonts w:hint="default"/>
          <w:kern w:val="2"/>
          <w:sz w:val="21"/>
          <w:lang w:val="en-US" w:eastAsia="zh-CN"/>
        </w:rPr>
        <w:t>Ericsson</w:t>
      </w:r>
    </w:p>
    <w:p w14:paraId="41270707">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R4-2508655</w:t>
      </w:r>
      <w:r>
        <w:rPr>
          <w:rFonts w:hint="default"/>
          <w:kern w:val="2"/>
          <w:sz w:val="21"/>
          <w:lang w:val="en-US" w:eastAsia="zh-CN"/>
        </w:rPr>
        <w:tab/>
      </w:r>
      <w:r>
        <w:rPr>
          <w:rFonts w:hint="default"/>
          <w:kern w:val="2"/>
          <w:sz w:val="21"/>
          <w:lang w:val="en-US" w:eastAsia="zh-CN"/>
        </w:rPr>
        <w:t>CR to TS 38.115-2 for introduction of expected EIRP mask conformance test for NCR</w:t>
      </w:r>
      <w:r>
        <w:rPr>
          <w:rFonts w:hint="default"/>
          <w:kern w:val="2"/>
          <w:sz w:val="21"/>
          <w:lang w:val="en-US" w:eastAsia="zh-CN"/>
        </w:rPr>
        <w:tab/>
      </w:r>
      <w:r>
        <w:rPr>
          <w:rFonts w:hint="default"/>
          <w:kern w:val="2"/>
          <w:sz w:val="21"/>
          <w:lang w:val="en-US" w:eastAsia="zh-CN"/>
        </w:rPr>
        <w:t>Nokia</w:t>
      </w:r>
    </w:p>
    <w:p w14:paraId="280D1004">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R4-2508656</w:t>
      </w:r>
      <w:r>
        <w:rPr>
          <w:rFonts w:hint="default"/>
          <w:kern w:val="2"/>
          <w:sz w:val="21"/>
          <w:lang w:val="en-US" w:eastAsia="zh-CN"/>
        </w:rPr>
        <w:tab/>
      </w:r>
      <w:r>
        <w:rPr>
          <w:rFonts w:hint="default"/>
          <w:kern w:val="2"/>
          <w:sz w:val="21"/>
          <w:lang w:val="en-US" w:eastAsia="zh-CN"/>
        </w:rPr>
        <w:t>Way Forward for [115][302] NR_BS_RF_Part1_E_EIRP</w:t>
      </w:r>
      <w:r>
        <w:rPr>
          <w:rFonts w:hint="default"/>
          <w:kern w:val="2"/>
          <w:sz w:val="21"/>
          <w:lang w:val="en-US" w:eastAsia="zh-CN"/>
        </w:rPr>
        <w:tab/>
      </w:r>
      <w:r>
        <w:rPr>
          <w:rFonts w:hint="default"/>
          <w:kern w:val="2"/>
          <w:sz w:val="21"/>
          <w:lang w:val="en-US" w:eastAsia="zh-CN"/>
        </w:rPr>
        <w:t>ZTE</w:t>
      </w:r>
    </w:p>
    <w:p w14:paraId="57837286">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R4-2508657</w:t>
      </w:r>
      <w:r>
        <w:rPr>
          <w:rFonts w:hint="default"/>
          <w:kern w:val="2"/>
          <w:sz w:val="21"/>
          <w:lang w:val="en-US" w:eastAsia="zh-CN"/>
        </w:rPr>
        <w:tab/>
      </w:r>
      <w:r>
        <w:rPr>
          <w:rFonts w:hint="default"/>
          <w:kern w:val="2"/>
          <w:sz w:val="21"/>
          <w:lang w:val="en-US" w:eastAsia="zh-CN"/>
        </w:rPr>
        <w:t>Way Forward for [115][303] NR_BS_RF_Part2_CLTA_SE</w:t>
      </w:r>
      <w:r>
        <w:rPr>
          <w:rFonts w:hint="default"/>
          <w:kern w:val="2"/>
          <w:sz w:val="21"/>
          <w:lang w:val="en-US" w:eastAsia="zh-CN"/>
        </w:rPr>
        <w:tab/>
      </w:r>
      <w:r>
        <w:rPr>
          <w:rFonts w:hint="default"/>
          <w:kern w:val="2"/>
          <w:sz w:val="21"/>
          <w:lang w:val="en-US" w:eastAsia="zh-CN"/>
        </w:rPr>
        <w:t>Huawei</w:t>
      </w:r>
    </w:p>
    <w:p w14:paraId="13495A17">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R4-2508658</w:t>
      </w:r>
      <w:r>
        <w:rPr>
          <w:rFonts w:hint="default"/>
          <w:kern w:val="2"/>
          <w:sz w:val="21"/>
          <w:lang w:val="en-US" w:eastAsia="zh-CN"/>
        </w:rPr>
        <w:tab/>
      </w:r>
      <w:r>
        <w:rPr>
          <w:rFonts w:hint="default"/>
          <w:kern w:val="2"/>
          <w:sz w:val="21"/>
          <w:lang w:val="en-US" w:eastAsia="zh-CN"/>
        </w:rPr>
        <w:t>Way Forward for [115][304] NR_BS_RF_Part3_OTA_TRP</w:t>
      </w:r>
      <w:r>
        <w:rPr>
          <w:rFonts w:hint="default"/>
          <w:kern w:val="2"/>
          <w:sz w:val="21"/>
          <w:lang w:val="en-US" w:eastAsia="zh-CN"/>
        </w:rPr>
        <w:tab/>
      </w:r>
      <w:r>
        <w:rPr>
          <w:rFonts w:hint="default"/>
          <w:kern w:val="2"/>
          <w:sz w:val="21"/>
          <w:lang w:val="en-US" w:eastAsia="zh-CN"/>
        </w:rPr>
        <w:t>ZTE</w:t>
      </w:r>
    </w:p>
    <w:p w14:paraId="67EF822F">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R4-2508761</w:t>
      </w:r>
      <w:r>
        <w:rPr>
          <w:rFonts w:hint="default"/>
          <w:kern w:val="2"/>
          <w:sz w:val="21"/>
          <w:lang w:val="en-US" w:eastAsia="zh-CN"/>
        </w:rPr>
        <w:tab/>
      </w:r>
      <w:r>
        <w:rPr>
          <w:rFonts w:hint="default"/>
          <w:kern w:val="2"/>
          <w:sz w:val="21"/>
          <w:lang w:val="en-US" w:eastAsia="zh-CN"/>
        </w:rPr>
        <w:t>Analysis of 3GPP TRP TRS AC lab alignment of 2Tx</w:t>
      </w:r>
      <w:r>
        <w:rPr>
          <w:rFonts w:hint="default"/>
          <w:kern w:val="2"/>
          <w:sz w:val="21"/>
          <w:lang w:val="en-US" w:eastAsia="zh-CN"/>
        </w:rPr>
        <w:tab/>
      </w:r>
      <w:r>
        <w:rPr>
          <w:rFonts w:hint="default"/>
          <w:kern w:val="2"/>
          <w:sz w:val="21"/>
          <w:lang w:val="en-US" w:eastAsia="zh-CN"/>
        </w:rPr>
        <w:t>vivo</w:t>
      </w:r>
    </w:p>
    <w:p w14:paraId="17FC38D3">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R4-2508762</w:t>
      </w:r>
      <w:r>
        <w:rPr>
          <w:rFonts w:hint="default"/>
          <w:kern w:val="2"/>
          <w:sz w:val="21"/>
          <w:lang w:val="en-US" w:eastAsia="zh-CN"/>
        </w:rPr>
        <w:tab/>
      </w:r>
      <w:r>
        <w:rPr>
          <w:rFonts w:hint="default"/>
          <w:kern w:val="2"/>
          <w:sz w:val="21"/>
          <w:lang w:val="en-US" w:eastAsia="zh-CN"/>
        </w:rPr>
        <w:t>Way Forward for [115][303] NR_BS_RF_Part2_CLTA_SE: Tx spur co-ex</w:t>
      </w:r>
      <w:r>
        <w:rPr>
          <w:rFonts w:hint="default"/>
          <w:kern w:val="2"/>
          <w:sz w:val="21"/>
          <w:lang w:val="en-US" w:eastAsia="zh-CN"/>
        </w:rPr>
        <w:tab/>
      </w:r>
      <w:r>
        <w:rPr>
          <w:rFonts w:hint="default"/>
          <w:kern w:val="2"/>
          <w:sz w:val="21"/>
          <w:lang w:val="en-US" w:eastAsia="zh-CN"/>
        </w:rPr>
        <w:t>Huawei</w:t>
      </w:r>
    </w:p>
    <w:p w14:paraId="518086F2">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R4-2508783</w:t>
      </w:r>
      <w:r>
        <w:rPr>
          <w:rFonts w:hint="default"/>
          <w:kern w:val="2"/>
          <w:sz w:val="21"/>
          <w:lang w:val="en-US" w:eastAsia="zh-CN"/>
        </w:rPr>
        <w:tab/>
      </w:r>
      <w:r>
        <w:rPr>
          <w:rFonts w:hint="default"/>
          <w:kern w:val="2"/>
          <w:sz w:val="21"/>
          <w:lang w:val="en-US" w:eastAsia="zh-CN"/>
        </w:rPr>
        <w:t>CR to TS 38.106 for introduction of expected EIRP mask core requirement for NCR</w:t>
      </w:r>
      <w:r>
        <w:rPr>
          <w:rFonts w:hint="default"/>
          <w:kern w:val="2"/>
          <w:sz w:val="21"/>
          <w:lang w:val="en-US" w:eastAsia="zh-CN"/>
        </w:rPr>
        <w:tab/>
      </w:r>
      <w:r>
        <w:rPr>
          <w:rFonts w:hint="default"/>
          <w:kern w:val="2"/>
          <w:sz w:val="21"/>
          <w:lang w:val="en-US" w:eastAsia="zh-CN"/>
        </w:rPr>
        <w:t>Nokia, ZTE Corporation, Ericsson, Huawei, Samsung, Qualcomm, CATT</w:t>
      </w:r>
    </w:p>
    <w:p w14:paraId="78745D21">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R4-2508784</w:t>
      </w:r>
      <w:r>
        <w:rPr>
          <w:rFonts w:hint="default"/>
          <w:kern w:val="2"/>
          <w:sz w:val="21"/>
          <w:lang w:val="en-US" w:eastAsia="zh-CN"/>
        </w:rPr>
        <w:tab/>
      </w:r>
      <w:r>
        <w:rPr>
          <w:rFonts w:hint="default"/>
          <w:kern w:val="2"/>
          <w:sz w:val="21"/>
          <w:lang w:val="en-US" w:eastAsia="zh-CN"/>
        </w:rPr>
        <w:t>CR to TS 38.141-2: improvements related to Expected EIRP for band n104</w:t>
      </w:r>
      <w:r>
        <w:rPr>
          <w:rFonts w:hint="default"/>
          <w:kern w:val="2"/>
          <w:sz w:val="21"/>
          <w:lang w:val="en-US" w:eastAsia="zh-CN"/>
        </w:rPr>
        <w:tab/>
      </w:r>
      <w:r>
        <w:rPr>
          <w:rFonts w:hint="default"/>
          <w:kern w:val="2"/>
          <w:sz w:val="21"/>
          <w:lang w:val="en-US" w:eastAsia="zh-CN"/>
        </w:rPr>
        <w:t>Ericsson, Nokia, Huawei, ZTE, Keysight, NEC</w:t>
      </w:r>
    </w:p>
    <w:p w14:paraId="7FEDE389">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R4-2508785</w:t>
      </w:r>
      <w:r>
        <w:rPr>
          <w:rFonts w:hint="default"/>
          <w:kern w:val="2"/>
          <w:sz w:val="21"/>
          <w:lang w:val="en-US" w:eastAsia="zh-CN"/>
        </w:rPr>
        <w:tab/>
      </w:r>
      <w:r>
        <w:rPr>
          <w:rFonts w:hint="default"/>
          <w:kern w:val="2"/>
          <w:sz w:val="21"/>
          <w:lang w:val="en-US" w:eastAsia="zh-CN"/>
        </w:rPr>
        <w:t>Big CR to TR 37.941: Rel-19 CLTA-related agreements</w:t>
      </w:r>
      <w:r>
        <w:rPr>
          <w:rFonts w:hint="default"/>
          <w:kern w:val="2"/>
          <w:sz w:val="21"/>
          <w:lang w:val="en-US" w:eastAsia="zh-CN"/>
        </w:rPr>
        <w:tab/>
      </w:r>
      <w:r>
        <w:rPr>
          <w:rFonts w:hint="default"/>
          <w:kern w:val="2"/>
          <w:sz w:val="21"/>
          <w:lang w:val="en-US" w:eastAsia="zh-CN"/>
        </w:rPr>
        <w:t>Huawei, HiSilicon</w:t>
      </w:r>
    </w:p>
    <w:p w14:paraId="6CCD3D5E">
      <w:pPr>
        <w:widowControl w:val="0"/>
        <w:numPr>
          <w:ilvl w:val="0"/>
          <w:numId w:val="29"/>
        </w:numPr>
        <w:overflowPunct/>
        <w:autoSpaceDE/>
        <w:autoSpaceDN/>
        <w:adjustRightInd/>
        <w:spacing w:after="0"/>
        <w:ind w:left="425" w:hanging="357"/>
        <w:jc w:val="both"/>
        <w:textAlignment w:val="auto"/>
        <w:rPr>
          <w:rFonts w:hint="default"/>
          <w:kern w:val="2"/>
          <w:sz w:val="21"/>
          <w:lang w:val="en-US" w:eastAsia="zh-CN"/>
        </w:rPr>
      </w:pPr>
      <w:r>
        <w:rPr>
          <w:rFonts w:hint="default"/>
          <w:kern w:val="2"/>
          <w:sz w:val="21"/>
          <w:lang w:val="en-US" w:eastAsia="zh-CN"/>
        </w:rPr>
        <w:t>R4-2508910</w:t>
      </w:r>
      <w:r>
        <w:rPr>
          <w:rFonts w:hint="default"/>
          <w:kern w:val="2"/>
          <w:sz w:val="21"/>
          <w:lang w:val="en-US" w:eastAsia="zh-CN"/>
        </w:rPr>
        <w:tab/>
      </w:r>
      <w:r>
        <w:rPr>
          <w:rFonts w:hint="default"/>
          <w:kern w:val="2"/>
          <w:sz w:val="21"/>
          <w:lang w:val="en-US" w:eastAsia="zh-CN"/>
        </w:rPr>
        <w:t>PWS MU to be updated for n104 band</w:t>
      </w:r>
      <w:r>
        <w:rPr>
          <w:rFonts w:hint="default"/>
          <w:kern w:val="2"/>
          <w:sz w:val="21"/>
          <w:lang w:val="en-US" w:eastAsia="zh-CN"/>
        </w:rPr>
        <w:tab/>
      </w:r>
      <w:r>
        <w:rPr>
          <w:rFonts w:hint="default"/>
          <w:kern w:val="2"/>
          <w:sz w:val="21"/>
          <w:lang w:val="en-US" w:eastAsia="zh-CN"/>
        </w:rPr>
        <w:t>ROHDE &amp; SCHWARZ</w:t>
      </w:r>
    </w:p>
    <w:p w14:paraId="7D134B2E">
      <w:pPr>
        <w:widowControl w:val="0"/>
        <w:numPr>
          <w:ilvl w:val="0"/>
          <w:numId w:val="0"/>
        </w:numPr>
        <w:overflowPunct/>
        <w:autoSpaceDE/>
        <w:autoSpaceDN/>
        <w:adjustRightInd/>
        <w:spacing w:after="0"/>
        <w:jc w:val="both"/>
        <w:textAlignment w:val="auto"/>
        <w:rPr>
          <w:rFonts w:hint="eastAsia"/>
          <w:kern w:val="2"/>
          <w:sz w:val="21"/>
          <w:lang w:val="en-US" w:eastAsia="zh-CN"/>
        </w:rPr>
      </w:pPr>
    </w:p>
    <w:sectPr>
      <w:headerReference r:id="rId4" w:type="default"/>
      <w:footerReference r:id="rId5"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New York">
    <w:altName w:val="Tahoma"/>
    <w:panose1 w:val="02040503060506020304"/>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CDA18">
    <w:pPr>
      <w:pStyle w:val="39"/>
    </w:pPr>
    <w:r>
      <w:rPr>
        <w:rStyle w:val="57"/>
      </w:rPr>
      <w:fldChar w:fldCharType="begin"/>
    </w:r>
    <w:r>
      <w:rPr>
        <w:rStyle w:val="57"/>
      </w:rPr>
      <w:instrText xml:space="preserve"> PAGE </w:instrText>
    </w:r>
    <w:r>
      <w:rPr>
        <w:rStyle w:val="57"/>
      </w:rPr>
      <w:fldChar w:fldCharType="separate"/>
    </w:r>
    <w:r>
      <w:rPr>
        <w:rStyle w:val="57"/>
      </w:rPr>
      <w:t>1</w:t>
    </w:r>
    <w:r>
      <w:rPr>
        <w:rStyle w:val="57"/>
      </w:rPr>
      <w:fldChar w:fldCharType="end"/>
    </w:r>
    <w:r>
      <w:rPr>
        <w:rStyle w:val="57"/>
      </w:rPr>
      <w:t xml:space="preserve"> / </w:t>
    </w:r>
    <w:r>
      <w:rPr>
        <w:rStyle w:val="57"/>
      </w:rPr>
      <w:fldChar w:fldCharType="begin"/>
    </w:r>
    <w:r>
      <w:rPr>
        <w:rStyle w:val="57"/>
      </w:rPr>
      <w:instrText xml:space="preserve"> NUMPAGES </w:instrText>
    </w:r>
    <w:r>
      <w:rPr>
        <w:rStyle w:val="57"/>
      </w:rPr>
      <w:fldChar w:fldCharType="separate"/>
    </w:r>
    <w:r>
      <w:rPr>
        <w:rStyle w:val="57"/>
      </w:rPr>
      <w:t>9</w:t>
    </w:r>
    <w:r>
      <w:rPr>
        <w:rStyle w:val="5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208B9">
    <w:pPr>
      <w:pStyle w:val="40"/>
    </w:pPr>
    <w:r>
      <w:t>ver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9C402"/>
    <w:multiLevelType w:val="multilevel"/>
    <w:tmpl w:val="8779C402"/>
    <w:lvl w:ilvl="0" w:tentative="0">
      <w:start w:val="1"/>
      <w:numFmt w:val="bullet"/>
      <w:pStyle w:val="213"/>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A556C586"/>
    <w:multiLevelType w:val="multilevel"/>
    <w:tmpl w:val="A556C5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BDF2C98F"/>
    <w:multiLevelType w:val="singleLevel"/>
    <w:tmpl w:val="BDF2C98F"/>
    <w:lvl w:ilvl="0" w:tentative="0">
      <w:start w:val="1"/>
      <w:numFmt w:val="decimal"/>
      <w:pStyle w:val="180"/>
      <w:suff w:val="space"/>
      <w:lvlText w:val="[%1]"/>
      <w:lvlJc w:val="left"/>
      <w:pPr>
        <w:ind w:left="643" w:hanging="443"/>
      </w:pPr>
    </w:lvl>
  </w:abstractNum>
  <w:abstractNum w:abstractNumId="3">
    <w:nsid w:val="C6A51E95"/>
    <w:multiLevelType w:val="singleLevel"/>
    <w:tmpl w:val="C6A51E95"/>
    <w:lvl w:ilvl="0" w:tentative="0">
      <w:start w:val="1"/>
      <w:numFmt w:val="bullet"/>
      <w:lvlText w:val=""/>
      <w:lvlJc w:val="left"/>
      <w:pPr>
        <w:ind w:left="420" w:hanging="420"/>
      </w:pPr>
      <w:rPr>
        <w:rFonts w:hint="default" w:ascii="Wingdings" w:hAnsi="Wingdings"/>
      </w:rPr>
    </w:lvl>
  </w:abstractNum>
  <w:abstractNum w:abstractNumId="4">
    <w:nsid w:val="01110A39"/>
    <w:multiLevelType w:val="multilevel"/>
    <w:tmpl w:val="01110A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4F8556A"/>
    <w:multiLevelType w:val="multilevel"/>
    <w:tmpl w:val="04F8556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0D786A31"/>
    <w:multiLevelType w:val="multilevel"/>
    <w:tmpl w:val="0D786A31"/>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FAD0F5A"/>
    <w:multiLevelType w:val="multilevel"/>
    <w:tmpl w:val="0FAD0F5A"/>
    <w:lvl w:ilvl="0" w:tentative="0">
      <w:start w:val="1"/>
      <w:numFmt w:val="lowerLetter"/>
      <w:lvlText w:val="%1)"/>
      <w:lvlJc w:val="left"/>
      <w:pPr>
        <w:ind w:left="360" w:hanging="360"/>
      </w:pPr>
      <w:rPr>
        <w:rFonts w:hint="default"/>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14E973B8"/>
    <w:multiLevelType w:val="multilevel"/>
    <w:tmpl w:val="14E973B8"/>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6E330FA"/>
    <w:multiLevelType w:val="multilevel"/>
    <w:tmpl w:val="16E330FA"/>
    <w:lvl w:ilvl="0" w:tentative="0">
      <w:start w:val="1"/>
      <w:numFmt w:val="lowerLetter"/>
      <w:lvlText w:val="%1)"/>
      <w:lvlJc w:val="left"/>
      <w:pPr>
        <w:ind w:left="720" w:hanging="360"/>
      </w:pPr>
      <w:rPr>
        <w:rFonts w:hint="default"/>
        <w:color w:val="000000" w:themeColor="text1"/>
        <w14:textFill>
          <w14:solidFill>
            <w14:schemeClr w14:val="tx1"/>
          </w14:solidFill>
        </w14:textFill>
      </w:rPr>
    </w:lvl>
    <w:lvl w:ilvl="1" w:tentative="0">
      <w:start w:val="1"/>
      <w:numFmt w:val="decimal"/>
      <w:lvlText w:val="%2)"/>
      <w:lvlJc w:val="left"/>
      <w:pPr>
        <w:ind w:left="1440" w:hanging="360"/>
      </w:pPr>
      <w:rPr>
        <w:rFonts w:hint="default"/>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1">
    <w:nsid w:val="2CC7125C"/>
    <w:multiLevelType w:val="singleLevel"/>
    <w:tmpl w:val="2CC7125C"/>
    <w:lvl w:ilvl="0" w:tentative="0">
      <w:start w:val="1"/>
      <w:numFmt w:val="bullet"/>
      <w:pStyle w:val="160"/>
      <w:lvlText w:val=""/>
      <w:lvlJc w:val="left"/>
      <w:pPr>
        <w:tabs>
          <w:tab w:val="left" w:pos="360"/>
        </w:tabs>
        <w:ind w:left="360" w:hanging="360"/>
      </w:pPr>
      <w:rPr>
        <w:rFonts w:hint="default" w:ascii="Symbol" w:hAnsi="Symbol"/>
      </w:rPr>
    </w:lvl>
  </w:abstractNum>
  <w:abstractNum w:abstractNumId="12">
    <w:nsid w:val="318D2995"/>
    <w:multiLevelType w:val="multilevel"/>
    <w:tmpl w:val="318D2995"/>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33524BA"/>
    <w:multiLevelType w:val="multilevel"/>
    <w:tmpl w:val="333524BA"/>
    <w:lvl w:ilvl="0" w:tentative="0">
      <w:start w:val="1"/>
      <w:numFmt w:val="decimal"/>
      <w:pStyle w:val="18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4D5045A"/>
    <w:multiLevelType w:val="singleLevel"/>
    <w:tmpl w:val="34D5045A"/>
    <w:lvl w:ilvl="0" w:tentative="0">
      <w:start w:val="1"/>
      <w:numFmt w:val="bullet"/>
      <w:pStyle w:val="102"/>
      <w:lvlText w:val=""/>
      <w:lvlJc w:val="left"/>
      <w:pPr>
        <w:tabs>
          <w:tab w:val="left" w:pos="360"/>
        </w:tabs>
        <w:ind w:left="340" w:hanging="340"/>
      </w:pPr>
      <w:rPr>
        <w:rFonts w:hint="default" w:ascii="Symbol" w:hAnsi="Symbol" w:eastAsia="Times New Roman"/>
        <w:color w:val="auto"/>
      </w:rPr>
    </w:lvl>
  </w:abstractNum>
  <w:abstractNum w:abstractNumId="15">
    <w:nsid w:val="3F805443"/>
    <w:multiLevelType w:val="multilevel"/>
    <w:tmpl w:val="3F805443"/>
    <w:lvl w:ilvl="0" w:tentative="0">
      <w:start w:val="3"/>
      <w:numFmt w:val="bullet"/>
      <w:lvlText w:val="-"/>
      <w:lvlJc w:val="left"/>
      <w:pPr>
        <w:ind w:left="720" w:hanging="360"/>
      </w:pPr>
      <w:rPr>
        <w:rFonts w:hint="default" w:ascii="Calibri" w:hAnsi="Calibri" w:eastAsia="Times New Roman"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21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8">
    <w:nsid w:val="59B60955"/>
    <w:multiLevelType w:val="multilevel"/>
    <w:tmpl w:val="59B6095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CA700A6"/>
    <w:multiLevelType w:val="singleLevel"/>
    <w:tmpl w:val="5CA700A6"/>
    <w:lvl w:ilvl="0" w:tentative="0">
      <w:start w:val="1"/>
      <w:numFmt w:val="bullet"/>
      <w:lvlText w:val="ₒ"/>
      <w:lvlJc w:val="left"/>
      <w:pPr>
        <w:ind w:left="420" w:leftChars="0" w:hanging="420" w:firstLineChars="0"/>
      </w:pPr>
      <w:rPr>
        <w:rFonts w:hint="default" w:ascii="Arial" w:hAnsi="Arial" w:cs="Arial"/>
      </w:rPr>
    </w:lvl>
  </w:abstractNum>
  <w:abstractNum w:abstractNumId="20">
    <w:nsid w:val="5D177F5E"/>
    <w:multiLevelType w:val="multilevel"/>
    <w:tmpl w:val="5D177F5E"/>
    <w:lvl w:ilvl="0" w:tentative="0">
      <w:start w:val="1"/>
      <w:numFmt w:val="decimal"/>
      <w:pStyle w:val="2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1">
    <w:nsid w:val="61F003CC"/>
    <w:multiLevelType w:val="multilevel"/>
    <w:tmpl w:val="61F003CC"/>
    <w:lvl w:ilvl="0" w:tentative="0">
      <w:start w:val="1"/>
      <w:numFmt w:val="decimal"/>
      <w:pStyle w:val="18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64AE27F1"/>
    <w:multiLevelType w:val="singleLevel"/>
    <w:tmpl w:val="64AE27F1"/>
    <w:lvl w:ilvl="0" w:tentative="0">
      <w:start w:val="1"/>
      <w:numFmt w:val="bullet"/>
      <w:pStyle w:val="110"/>
      <w:lvlText w:val=""/>
      <w:lvlJc w:val="left"/>
      <w:pPr>
        <w:tabs>
          <w:tab w:val="left" w:pos="992"/>
        </w:tabs>
        <w:ind w:left="992" w:hanging="425"/>
      </w:pPr>
      <w:rPr>
        <w:rFonts w:hint="default" w:ascii="Symbol" w:hAnsi="Symbol" w:eastAsia="Times New Roman"/>
      </w:rPr>
    </w:lvl>
  </w:abstractNum>
  <w:abstractNum w:abstractNumId="23">
    <w:nsid w:val="6ED709EC"/>
    <w:multiLevelType w:val="multilevel"/>
    <w:tmpl w:val="6ED709EC"/>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79C41A82"/>
    <w:multiLevelType w:val="multilevel"/>
    <w:tmpl w:val="79C41A82"/>
    <w:lvl w:ilvl="0" w:tentative="0">
      <w:start w:val="1"/>
      <w:numFmt w:val="decimal"/>
      <w:pStyle w:val="19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A8E6381"/>
    <w:multiLevelType w:val="multilevel"/>
    <w:tmpl w:val="7A8E6381"/>
    <w:lvl w:ilvl="0" w:tentative="0">
      <w:start w:val="3"/>
      <w:numFmt w:val="bullet"/>
      <w:lvlText w:val="-"/>
      <w:lvlJc w:val="left"/>
      <w:pPr>
        <w:ind w:left="720" w:hanging="360"/>
      </w:pPr>
      <w:rPr>
        <w:rFonts w:hint="default" w:ascii="Times New Roman" w:hAnsi="Times New Roman" w:eastAsia="Times New Roman" w:cs="Times New Roman"/>
        <w:color w:val="000000" w:themeColor="text1"/>
        <w14:textFill>
          <w14:solidFill>
            <w14:schemeClr w14:val="tx1"/>
          </w14:solidFill>
        </w14:textFil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BB2217D"/>
    <w:multiLevelType w:val="multilevel"/>
    <w:tmpl w:val="7BB2217D"/>
    <w:lvl w:ilvl="0" w:tentative="0">
      <w:start w:val="1"/>
      <w:numFmt w:val="decimal"/>
      <w:pStyle w:val="183"/>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BC330F5"/>
    <w:multiLevelType w:val="multilevel"/>
    <w:tmpl w:val="7BC330F5"/>
    <w:lvl w:ilvl="0" w:tentative="0">
      <w:start w:val="1"/>
      <w:numFmt w:val="bullet"/>
      <w:pStyle w:val="11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8">
    <w:nsid w:val="7D847FC2"/>
    <w:multiLevelType w:val="multilevel"/>
    <w:tmpl w:val="7D847FC2"/>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4"/>
  </w:num>
  <w:num w:numId="2">
    <w:abstractNumId w:val="22"/>
  </w:num>
  <w:num w:numId="3">
    <w:abstractNumId w:val="27"/>
  </w:num>
  <w:num w:numId="4">
    <w:abstractNumId w:val="11"/>
  </w:num>
  <w:num w:numId="5">
    <w:abstractNumId w:val="2"/>
  </w:num>
  <w:num w:numId="6">
    <w:abstractNumId w:val="26"/>
  </w:num>
  <w:num w:numId="7">
    <w:abstractNumId w:val="21"/>
  </w:num>
  <w:num w:numId="8">
    <w:abstractNumId w:val="13"/>
  </w:num>
  <w:num w:numId="9">
    <w:abstractNumId w:val="24"/>
  </w:num>
  <w:num w:numId="10">
    <w:abstractNumId w:val="16"/>
  </w:num>
  <w:num w:numId="11">
    <w:abstractNumId w:val="0"/>
  </w:num>
  <w:num w:numId="12">
    <w:abstractNumId w:val="20"/>
  </w:num>
  <w:num w:numId="13">
    <w:abstractNumId w:val="10"/>
  </w:num>
  <w:num w:numId="14">
    <w:abstractNumId w:val="17"/>
  </w:num>
  <w:num w:numId="15">
    <w:abstractNumId w:val="25"/>
  </w:num>
  <w:num w:numId="16">
    <w:abstractNumId w:val="23"/>
  </w:num>
  <w:num w:numId="17">
    <w:abstractNumId w:val="9"/>
  </w:num>
  <w:num w:numId="18">
    <w:abstractNumId w:val="8"/>
  </w:num>
  <w:num w:numId="19">
    <w:abstractNumId w:val="6"/>
  </w:num>
  <w:num w:numId="20">
    <w:abstractNumId w:val="28"/>
  </w:num>
  <w:num w:numId="21">
    <w:abstractNumId w:val="4"/>
  </w:num>
  <w:num w:numId="22">
    <w:abstractNumId w:val="5"/>
  </w:num>
  <w:num w:numId="23">
    <w:abstractNumId w:val="19"/>
  </w:num>
  <w:num w:numId="24">
    <w:abstractNumId w:val="7"/>
  </w:num>
  <w:num w:numId="25">
    <w:abstractNumId w:val="15"/>
  </w:num>
  <w:num w:numId="26">
    <w:abstractNumId w:val="12"/>
  </w:num>
  <w:num w:numId="27">
    <w:abstractNumId w:val="3"/>
  </w:num>
  <w:num w:numId="28">
    <w:abstractNumId w:val="18"/>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4ED"/>
    <w:rsid w:val="00007BD0"/>
    <w:rsid w:val="00007C2F"/>
    <w:rsid w:val="0001034C"/>
    <w:rsid w:val="00011C3B"/>
    <w:rsid w:val="00021DEC"/>
    <w:rsid w:val="00022251"/>
    <w:rsid w:val="00023B89"/>
    <w:rsid w:val="000266D7"/>
    <w:rsid w:val="000276C5"/>
    <w:rsid w:val="00033873"/>
    <w:rsid w:val="0004456C"/>
    <w:rsid w:val="000474E3"/>
    <w:rsid w:val="0004770D"/>
    <w:rsid w:val="0005259B"/>
    <w:rsid w:val="00053FEE"/>
    <w:rsid w:val="00060AE4"/>
    <w:rsid w:val="0006411D"/>
    <w:rsid w:val="000661C2"/>
    <w:rsid w:val="00067317"/>
    <w:rsid w:val="0007112F"/>
    <w:rsid w:val="00072173"/>
    <w:rsid w:val="00073385"/>
    <w:rsid w:val="000746A7"/>
    <w:rsid w:val="00074F7D"/>
    <w:rsid w:val="00077102"/>
    <w:rsid w:val="00082FB8"/>
    <w:rsid w:val="0008725E"/>
    <w:rsid w:val="000910BB"/>
    <w:rsid w:val="0009177C"/>
    <w:rsid w:val="000920C0"/>
    <w:rsid w:val="000926AF"/>
    <w:rsid w:val="00092C13"/>
    <w:rsid w:val="000962D3"/>
    <w:rsid w:val="00096742"/>
    <w:rsid w:val="00096E44"/>
    <w:rsid w:val="00097D87"/>
    <w:rsid w:val="000A20E4"/>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14F9"/>
    <w:rsid w:val="00102937"/>
    <w:rsid w:val="001030F0"/>
    <w:rsid w:val="0010324E"/>
    <w:rsid w:val="00104A21"/>
    <w:rsid w:val="00106530"/>
    <w:rsid w:val="00107B0A"/>
    <w:rsid w:val="00115408"/>
    <w:rsid w:val="00116F4B"/>
    <w:rsid w:val="0011731D"/>
    <w:rsid w:val="001220E7"/>
    <w:rsid w:val="001221DE"/>
    <w:rsid w:val="001229F4"/>
    <w:rsid w:val="00123722"/>
    <w:rsid w:val="00124F98"/>
    <w:rsid w:val="001343FD"/>
    <w:rsid w:val="00137471"/>
    <w:rsid w:val="00142DF3"/>
    <w:rsid w:val="00144C8B"/>
    <w:rsid w:val="0015001D"/>
    <w:rsid w:val="00150FD3"/>
    <w:rsid w:val="001559D2"/>
    <w:rsid w:val="00156AA7"/>
    <w:rsid w:val="00156D57"/>
    <w:rsid w:val="001631DF"/>
    <w:rsid w:val="001677C9"/>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0260"/>
    <w:rsid w:val="001D1912"/>
    <w:rsid w:val="001D2C1A"/>
    <w:rsid w:val="001D3BA2"/>
    <w:rsid w:val="001D44B7"/>
    <w:rsid w:val="001D57BA"/>
    <w:rsid w:val="001D5F04"/>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4E8A"/>
    <w:rsid w:val="00216FA2"/>
    <w:rsid w:val="002247A2"/>
    <w:rsid w:val="0022485E"/>
    <w:rsid w:val="002320DA"/>
    <w:rsid w:val="00235D63"/>
    <w:rsid w:val="0023625F"/>
    <w:rsid w:val="00236F8E"/>
    <w:rsid w:val="00240687"/>
    <w:rsid w:val="00241D1F"/>
    <w:rsid w:val="00243A99"/>
    <w:rsid w:val="002516E4"/>
    <w:rsid w:val="00252991"/>
    <w:rsid w:val="00254A78"/>
    <w:rsid w:val="002573FF"/>
    <w:rsid w:val="00262B8C"/>
    <w:rsid w:val="00270B29"/>
    <w:rsid w:val="002731F5"/>
    <w:rsid w:val="00283C3C"/>
    <w:rsid w:val="00290335"/>
    <w:rsid w:val="002907DE"/>
    <w:rsid w:val="00293205"/>
    <w:rsid w:val="00293ECB"/>
    <w:rsid w:val="00294AA6"/>
    <w:rsid w:val="0029567C"/>
    <w:rsid w:val="00297087"/>
    <w:rsid w:val="002A19E2"/>
    <w:rsid w:val="002A4BDF"/>
    <w:rsid w:val="002B4C70"/>
    <w:rsid w:val="002C0B82"/>
    <w:rsid w:val="002C2408"/>
    <w:rsid w:val="002D10FB"/>
    <w:rsid w:val="002D1C9B"/>
    <w:rsid w:val="002D1D1E"/>
    <w:rsid w:val="002D381F"/>
    <w:rsid w:val="002D3962"/>
    <w:rsid w:val="002D4013"/>
    <w:rsid w:val="002D4E78"/>
    <w:rsid w:val="002D4E84"/>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4EE0"/>
    <w:rsid w:val="00396252"/>
    <w:rsid w:val="003977E1"/>
    <w:rsid w:val="003A3999"/>
    <w:rsid w:val="003A4B47"/>
    <w:rsid w:val="003A7ADB"/>
    <w:rsid w:val="003B24AF"/>
    <w:rsid w:val="003B302D"/>
    <w:rsid w:val="003B5154"/>
    <w:rsid w:val="003B7182"/>
    <w:rsid w:val="003C2CFE"/>
    <w:rsid w:val="003C342C"/>
    <w:rsid w:val="003C770D"/>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3DEF"/>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1B7"/>
    <w:rsid w:val="004873E6"/>
    <w:rsid w:val="00491DF3"/>
    <w:rsid w:val="00497E2C"/>
    <w:rsid w:val="004A071A"/>
    <w:rsid w:val="004A3904"/>
    <w:rsid w:val="004A3F06"/>
    <w:rsid w:val="004A45B9"/>
    <w:rsid w:val="004B15B8"/>
    <w:rsid w:val="004B1BE3"/>
    <w:rsid w:val="004B23F9"/>
    <w:rsid w:val="004B31C8"/>
    <w:rsid w:val="004B4E17"/>
    <w:rsid w:val="004B566C"/>
    <w:rsid w:val="004B675E"/>
    <w:rsid w:val="004B74B2"/>
    <w:rsid w:val="004B7B48"/>
    <w:rsid w:val="004C01FD"/>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5706"/>
    <w:rsid w:val="00526B0D"/>
    <w:rsid w:val="0053725F"/>
    <w:rsid w:val="00545364"/>
    <w:rsid w:val="00553315"/>
    <w:rsid w:val="0055346F"/>
    <w:rsid w:val="00553B50"/>
    <w:rsid w:val="005579FF"/>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1775"/>
    <w:rsid w:val="005A3957"/>
    <w:rsid w:val="005A6C96"/>
    <w:rsid w:val="005B032E"/>
    <w:rsid w:val="005C01A4"/>
    <w:rsid w:val="005C3C37"/>
    <w:rsid w:val="005C6156"/>
    <w:rsid w:val="005D0418"/>
    <w:rsid w:val="005D2D5C"/>
    <w:rsid w:val="005D3072"/>
    <w:rsid w:val="005D5101"/>
    <w:rsid w:val="005D7F35"/>
    <w:rsid w:val="005E1D58"/>
    <w:rsid w:val="005E23B5"/>
    <w:rsid w:val="005E3059"/>
    <w:rsid w:val="005F0B7E"/>
    <w:rsid w:val="006019E7"/>
    <w:rsid w:val="00602315"/>
    <w:rsid w:val="00610E37"/>
    <w:rsid w:val="00611039"/>
    <w:rsid w:val="00611C9A"/>
    <w:rsid w:val="006129BF"/>
    <w:rsid w:val="00616990"/>
    <w:rsid w:val="00616D07"/>
    <w:rsid w:val="006207ED"/>
    <w:rsid w:val="00621618"/>
    <w:rsid w:val="00626BC9"/>
    <w:rsid w:val="0063728F"/>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609"/>
    <w:rsid w:val="006B4C1E"/>
    <w:rsid w:val="006B60E8"/>
    <w:rsid w:val="006B6E36"/>
    <w:rsid w:val="006B6E3C"/>
    <w:rsid w:val="006C090F"/>
    <w:rsid w:val="006C4E32"/>
    <w:rsid w:val="006C56D8"/>
    <w:rsid w:val="006C78DB"/>
    <w:rsid w:val="006D07AE"/>
    <w:rsid w:val="006D1B07"/>
    <w:rsid w:val="006D1C93"/>
    <w:rsid w:val="006D1EA1"/>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0A89"/>
    <w:rsid w:val="00751DFF"/>
    <w:rsid w:val="00755625"/>
    <w:rsid w:val="0075703F"/>
    <w:rsid w:val="00757CD6"/>
    <w:rsid w:val="007645B5"/>
    <w:rsid w:val="007660CD"/>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D6826"/>
    <w:rsid w:val="007D68FE"/>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DD4"/>
    <w:rsid w:val="0084096D"/>
    <w:rsid w:val="00842D56"/>
    <w:rsid w:val="00843DB4"/>
    <w:rsid w:val="00851F84"/>
    <w:rsid w:val="008546E5"/>
    <w:rsid w:val="00854D20"/>
    <w:rsid w:val="008556A8"/>
    <w:rsid w:val="00855A55"/>
    <w:rsid w:val="0085677C"/>
    <w:rsid w:val="00864202"/>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8F66AB"/>
    <w:rsid w:val="00900AE8"/>
    <w:rsid w:val="00900DAD"/>
    <w:rsid w:val="009038F0"/>
    <w:rsid w:val="00905905"/>
    <w:rsid w:val="009060B9"/>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0345"/>
    <w:rsid w:val="00964355"/>
    <w:rsid w:val="00965296"/>
    <w:rsid w:val="009725BC"/>
    <w:rsid w:val="00973C19"/>
    <w:rsid w:val="00977F8D"/>
    <w:rsid w:val="00981028"/>
    <w:rsid w:val="00982F11"/>
    <w:rsid w:val="00984B17"/>
    <w:rsid w:val="00985654"/>
    <w:rsid w:val="00990BCD"/>
    <w:rsid w:val="0099325D"/>
    <w:rsid w:val="00995338"/>
    <w:rsid w:val="0099668F"/>
    <w:rsid w:val="00996777"/>
    <w:rsid w:val="00997386"/>
    <w:rsid w:val="009A0FD2"/>
    <w:rsid w:val="009A7B27"/>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51E"/>
    <w:rsid w:val="009F0747"/>
    <w:rsid w:val="00A03514"/>
    <w:rsid w:val="00A07312"/>
    <w:rsid w:val="00A10F5D"/>
    <w:rsid w:val="00A142DC"/>
    <w:rsid w:val="00A17079"/>
    <w:rsid w:val="00A218FA"/>
    <w:rsid w:val="00A23297"/>
    <w:rsid w:val="00A235A3"/>
    <w:rsid w:val="00A24852"/>
    <w:rsid w:val="00A27EC9"/>
    <w:rsid w:val="00A30A78"/>
    <w:rsid w:val="00A350DE"/>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C79A6"/>
    <w:rsid w:val="00AD24CB"/>
    <w:rsid w:val="00AD4D27"/>
    <w:rsid w:val="00AD51D1"/>
    <w:rsid w:val="00AD53C7"/>
    <w:rsid w:val="00AD7ADC"/>
    <w:rsid w:val="00AE08EB"/>
    <w:rsid w:val="00AE08F2"/>
    <w:rsid w:val="00AE18EC"/>
    <w:rsid w:val="00AE2651"/>
    <w:rsid w:val="00AE30C4"/>
    <w:rsid w:val="00AE3D69"/>
    <w:rsid w:val="00AE3FB4"/>
    <w:rsid w:val="00AE5DCC"/>
    <w:rsid w:val="00AF3414"/>
    <w:rsid w:val="00AF50F6"/>
    <w:rsid w:val="00AF613A"/>
    <w:rsid w:val="00B00BBE"/>
    <w:rsid w:val="00B04115"/>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39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75C31"/>
    <w:rsid w:val="00B84623"/>
    <w:rsid w:val="00B919A8"/>
    <w:rsid w:val="00B92631"/>
    <w:rsid w:val="00B938CB"/>
    <w:rsid w:val="00B9492D"/>
    <w:rsid w:val="00B96D1C"/>
    <w:rsid w:val="00B97A9D"/>
    <w:rsid w:val="00BA4A6B"/>
    <w:rsid w:val="00BA51EF"/>
    <w:rsid w:val="00BA6EF6"/>
    <w:rsid w:val="00BB0897"/>
    <w:rsid w:val="00BB5697"/>
    <w:rsid w:val="00BB66D5"/>
    <w:rsid w:val="00BC09FC"/>
    <w:rsid w:val="00BC66C8"/>
    <w:rsid w:val="00BC7E6E"/>
    <w:rsid w:val="00BD0EE7"/>
    <w:rsid w:val="00BD7B5A"/>
    <w:rsid w:val="00BE1D1F"/>
    <w:rsid w:val="00BE3060"/>
    <w:rsid w:val="00BE5E66"/>
    <w:rsid w:val="00BE6BBA"/>
    <w:rsid w:val="00BE7043"/>
    <w:rsid w:val="00BF123D"/>
    <w:rsid w:val="00BF16B5"/>
    <w:rsid w:val="00BF4839"/>
    <w:rsid w:val="00C00281"/>
    <w:rsid w:val="00C0179A"/>
    <w:rsid w:val="00C05625"/>
    <w:rsid w:val="00C1751E"/>
    <w:rsid w:val="00C17C6C"/>
    <w:rsid w:val="00C20ABF"/>
    <w:rsid w:val="00C21339"/>
    <w:rsid w:val="00C22284"/>
    <w:rsid w:val="00C22CF8"/>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0A33"/>
    <w:rsid w:val="00C6282A"/>
    <w:rsid w:val="00C74DAF"/>
    <w:rsid w:val="00C760E3"/>
    <w:rsid w:val="00C80116"/>
    <w:rsid w:val="00C823DB"/>
    <w:rsid w:val="00C83128"/>
    <w:rsid w:val="00C86711"/>
    <w:rsid w:val="00C87BFC"/>
    <w:rsid w:val="00C90B94"/>
    <w:rsid w:val="00CA35AB"/>
    <w:rsid w:val="00CA3657"/>
    <w:rsid w:val="00CA50EF"/>
    <w:rsid w:val="00CB1011"/>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0BF8"/>
    <w:rsid w:val="00D11E2A"/>
    <w:rsid w:val="00D160C1"/>
    <w:rsid w:val="00D16A2E"/>
    <w:rsid w:val="00D16D72"/>
    <w:rsid w:val="00D17794"/>
    <w:rsid w:val="00D21C50"/>
    <w:rsid w:val="00D22398"/>
    <w:rsid w:val="00D24E4B"/>
    <w:rsid w:val="00D30BDD"/>
    <w:rsid w:val="00D35E6C"/>
    <w:rsid w:val="00D42D70"/>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05FA9"/>
    <w:rsid w:val="00E102B2"/>
    <w:rsid w:val="00E125EA"/>
    <w:rsid w:val="00E126FE"/>
    <w:rsid w:val="00E12ECB"/>
    <w:rsid w:val="00E13DB1"/>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15B8"/>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B1686"/>
    <w:rsid w:val="00FB68AE"/>
    <w:rsid w:val="00FC2F45"/>
    <w:rsid w:val="00FC345B"/>
    <w:rsid w:val="00FC35AC"/>
    <w:rsid w:val="00FC4237"/>
    <w:rsid w:val="00FD4E37"/>
    <w:rsid w:val="00FD5647"/>
    <w:rsid w:val="00FE131F"/>
    <w:rsid w:val="00FE51EC"/>
    <w:rsid w:val="00FF1FDC"/>
    <w:rsid w:val="00FF6CEE"/>
    <w:rsid w:val="01181E79"/>
    <w:rsid w:val="0133515C"/>
    <w:rsid w:val="016A6360"/>
    <w:rsid w:val="021C5350"/>
    <w:rsid w:val="026F26FD"/>
    <w:rsid w:val="0285401A"/>
    <w:rsid w:val="02CA5022"/>
    <w:rsid w:val="02D84414"/>
    <w:rsid w:val="02E84657"/>
    <w:rsid w:val="031F347D"/>
    <w:rsid w:val="036D4EC2"/>
    <w:rsid w:val="037554BB"/>
    <w:rsid w:val="03B0401B"/>
    <w:rsid w:val="03C661BF"/>
    <w:rsid w:val="0406548E"/>
    <w:rsid w:val="04210D5B"/>
    <w:rsid w:val="04C156A8"/>
    <w:rsid w:val="04CA256A"/>
    <w:rsid w:val="04EE14A4"/>
    <w:rsid w:val="04F80E99"/>
    <w:rsid w:val="05136AB0"/>
    <w:rsid w:val="05147822"/>
    <w:rsid w:val="05243941"/>
    <w:rsid w:val="05490FE9"/>
    <w:rsid w:val="05815F05"/>
    <w:rsid w:val="059B1B24"/>
    <w:rsid w:val="05FE3860"/>
    <w:rsid w:val="062D7C32"/>
    <w:rsid w:val="065B3392"/>
    <w:rsid w:val="06A53383"/>
    <w:rsid w:val="06CA3E14"/>
    <w:rsid w:val="06DA22A2"/>
    <w:rsid w:val="072D2F81"/>
    <w:rsid w:val="074958E1"/>
    <w:rsid w:val="074D26C3"/>
    <w:rsid w:val="07541C13"/>
    <w:rsid w:val="078608E3"/>
    <w:rsid w:val="078E2CF2"/>
    <w:rsid w:val="07A24B1E"/>
    <w:rsid w:val="07BB6140"/>
    <w:rsid w:val="08395D30"/>
    <w:rsid w:val="08973524"/>
    <w:rsid w:val="089D668A"/>
    <w:rsid w:val="08A07782"/>
    <w:rsid w:val="08F44BC1"/>
    <w:rsid w:val="08FF69E4"/>
    <w:rsid w:val="09D71932"/>
    <w:rsid w:val="0A420B66"/>
    <w:rsid w:val="0A722199"/>
    <w:rsid w:val="0A7D1EB1"/>
    <w:rsid w:val="0AB36156"/>
    <w:rsid w:val="0ADC79B8"/>
    <w:rsid w:val="0AE41BA8"/>
    <w:rsid w:val="0AE962F7"/>
    <w:rsid w:val="0B357CF0"/>
    <w:rsid w:val="0B542BE4"/>
    <w:rsid w:val="0B676BC5"/>
    <w:rsid w:val="0B8B007F"/>
    <w:rsid w:val="0BA137A0"/>
    <w:rsid w:val="0BE1520A"/>
    <w:rsid w:val="0BF254A5"/>
    <w:rsid w:val="0C1237DB"/>
    <w:rsid w:val="0C1B1EEC"/>
    <w:rsid w:val="0C2F0B8D"/>
    <w:rsid w:val="0C5806CC"/>
    <w:rsid w:val="0CB24D69"/>
    <w:rsid w:val="0CE20CA1"/>
    <w:rsid w:val="0D2C528E"/>
    <w:rsid w:val="0D4F7655"/>
    <w:rsid w:val="0D527A7F"/>
    <w:rsid w:val="0D5663F1"/>
    <w:rsid w:val="0D6D0214"/>
    <w:rsid w:val="0DED5218"/>
    <w:rsid w:val="0E1E05CA"/>
    <w:rsid w:val="0E21353B"/>
    <w:rsid w:val="0E2C2B37"/>
    <w:rsid w:val="0E3C53EA"/>
    <w:rsid w:val="0E51617F"/>
    <w:rsid w:val="0EAF6971"/>
    <w:rsid w:val="0EC15643"/>
    <w:rsid w:val="0ED229E5"/>
    <w:rsid w:val="0F0B0F3A"/>
    <w:rsid w:val="0F102FA9"/>
    <w:rsid w:val="0F20414D"/>
    <w:rsid w:val="0F2B7023"/>
    <w:rsid w:val="0F5B5841"/>
    <w:rsid w:val="0F5E67C6"/>
    <w:rsid w:val="0F696B20"/>
    <w:rsid w:val="0F6E6569"/>
    <w:rsid w:val="0F9161B4"/>
    <w:rsid w:val="0FB42B59"/>
    <w:rsid w:val="0FCB3577"/>
    <w:rsid w:val="0FFF2ACC"/>
    <w:rsid w:val="102C1649"/>
    <w:rsid w:val="109D1177"/>
    <w:rsid w:val="10D15C5C"/>
    <w:rsid w:val="10F7691B"/>
    <w:rsid w:val="11610522"/>
    <w:rsid w:val="117016A9"/>
    <w:rsid w:val="119713B7"/>
    <w:rsid w:val="11BD71AA"/>
    <w:rsid w:val="11CE52C6"/>
    <w:rsid w:val="11F7576D"/>
    <w:rsid w:val="12C31056"/>
    <w:rsid w:val="13274DA3"/>
    <w:rsid w:val="132E0705"/>
    <w:rsid w:val="1357734B"/>
    <w:rsid w:val="136E2957"/>
    <w:rsid w:val="13853312"/>
    <w:rsid w:val="13897687"/>
    <w:rsid w:val="13B9011A"/>
    <w:rsid w:val="13BD2572"/>
    <w:rsid w:val="13EA433B"/>
    <w:rsid w:val="142F663A"/>
    <w:rsid w:val="152E3299"/>
    <w:rsid w:val="155C679B"/>
    <w:rsid w:val="15D66983"/>
    <w:rsid w:val="161E6859"/>
    <w:rsid w:val="162D3FB2"/>
    <w:rsid w:val="166D339A"/>
    <w:rsid w:val="167D017F"/>
    <w:rsid w:val="168077F8"/>
    <w:rsid w:val="16DD382F"/>
    <w:rsid w:val="170148CE"/>
    <w:rsid w:val="170D38E5"/>
    <w:rsid w:val="175B2228"/>
    <w:rsid w:val="17A339EE"/>
    <w:rsid w:val="17B07EE9"/>
    <w:rsid w:val="17BB112B"/>
    <w:rsid w:val="17F52300"/>
    <w:rsid w:val="17F90136"/>
    <w:rsid w:val="18E35B95"/>
    <w:rsid w:val="18FF308F"/>
    <w:rsid w:val="19100DAA"/>
    <w:rsid w:val="19654B7E"/>
    <w:rsid w:val="19717B4A"/>
    <w:rsid w:val="19805192"/>
    <w:rsid w:val="19E41BC5"/>
    <w:rsid w:val="1A132F57"/>
    <w:rsid w:val="1A263F89"/>
    <w:rsid w:val="1A7853C0"/>
    <w:rsid w:val="1AB0041E"/>
    <w:rsid w:val="1AC8208F"/>
    <w:rsid w:val="1ACD2659"/>
    <w:rsid w:val="1AE97737"/>
    <w:rsid w:val="1B166828"/>
    <w:rsid w:val="1B181180"/>
    <w:rsid w:val="1B554A6F"/>
    <w:rsid w:val="1B797F1F"/>
    <w:rsid w:val="1BEF1033"/>
    <w:rsid w:val="1C427D00"/>
    <w:rsid w:val="1C71262F"/>
    <w:rsid w:val="1C9B0535"/>
    <w:rsid w:val="1CE75EF8"/>
    <w:rsid w:val="1CEB0181"/>
    <w:rsid w:val="1D2C65C3"/>
    <w:rsid w:val="1D8827B9"/>
    <w:rsid w:val="1DF7659E"/>
    <w:rsid w:val="1E3823EC"/>
    <w:rsid w:val="1E520DC2"/>
    <w:rsid w:val="1E87015B"/>
    <w:rsid w:val="1EC21DA9"/>
    <w:rsid w:val="1EEC32CA"/>
    <w:rsid w:val="1EF74148"/>
    <w:rsid w:val="1F2D106A"/>
    <w:rsid w:val="1F3507CD"/>
    <w:rsid w:val="1F50506D"/>
    <w:rsid w:val="1F531875"/>
    <w:rsid w:val="1FD9558D"/>
    <w:rsid w:val="1FF02946"/>
    <w:rsid w:val="200F6337"/>
    <w:rsid w:val="202E41A8"/>
    <w:rsid w:val="203F6EF4"/>
    <w:rsid w:val="20A714C3"/>
    <w:rsid w:val="20D37522"/>
    <w:rsid w:val="20EB1A8B"/>
    <w:rsid w:val="20EF05C9"/>
    <w:rsid w:val="21522DE5"/>
    <w:rsid w:val="218D2419"/>
    <w:rsid w:val="22061872"/>
    <w:rsid w:val="221B4358"/>
    <w:rsid w:val="22796B9E"/>
    <w:rsid w:val="22914E40"/>
    <w:rsid w:val="22DC5E4E"/>
    <w:rsid w:val="22E6057E"/>
    <w:rsid w:val="22F866E1"/>
    <w:rsid w:val="236D75A9"/>
    <w:rsid w:val="23780CBF"/>
    <w:rsid w:val="23E30A96"/>
    <w:rsid w:val="240552CC"/>
    <w:rsid w:val="240F46B6"/>
    <w:rsid w:val="24190849"/>
    <w:rsid w:val="24747FE9"/>
    <w:rsid w:val="24B27742"/>
    <w:rsid w:val="24F43A2F"/>
    <w:rsid w:val="25891C28"/>
    <w:rsid w:val="25CD5911"/>
    <w:rsid w:val="25DB26A8"/>
    <w:rsid w:val="2624631F"/>
    <w:rsid w:val="26F62F37"/>
    <w:rsid w:val="270E3D1E"/>
    <w:rsid w:val="271B6F16"/>
    <w:rsid w:val="271F003B"/>
    <w:rsid w:val="27346C40"/>
    <w:rsid w:val="27762449"/>
    <w:rsid w:val="27893DAB"/>
    <w:rsid w:val="27B53501"/>
    <w:rsid w:val="27E22DFD"/>
    <w:rsid w:val="27E37119"/>
    <w:rsid w:val="289B34E7"/>
    <w:rsid w:val="28E27E2F"/>
    <w:rsid w:val="28E60C74"/>
    <w:rsid w:val="29451A7D"/>
    <w:rsid w:val="29BF1089"/>
    <w:rsid w:val="29C4524A"/>
    <w:rsid w:val="29CE5268"/>
    <w:rsid w:val="29FB2E6A"/>
    <w:rsid w:val="2A0E17D0"/>
    <w:rsid w:val="2A4028DC"/>
    <w:rsid w:val="2A680A43"/>
    <w:rsid w:val="2A746878"/>
    <w:rsid w:val="2A835621"/>
    <w:rsid w:val="2AA42601"/>
    <w:rsid w:val="2AC01F31"/>
    <w:rsid w:val="2AF54989"/>
    <w:rsid w:val="2B3E6082"/>
    <w:rsid w:val="2B9F777F"/>
    <w:rsid w:val="2BD33B65"/>
    <w:rsid w:val="2BD74F7C"/>
    <w:rsid w:val="2C482972"/>
    <w:rsid w:val="2C792587"/>
    <w:rsid w:val="2C9C5FBF"/>
    <w:rsid w:val="2CA77A2D"/>
    <w:rsid w:val="2CCE420F"/>
    <w:rsid w:val="2CD22C15"/>
    <w:rsid w:val="2CDB505B"/>
    <w:rsid w:val="2D485B6F"/>
    <w:rsid w:val="2D5B12CA"/>
    <w:rsid w:val="2D885FB0"/>
    <w:rsid w:val="2DDE404C"/>
    <w:rsid w:val="2E026ACA"/>
    <w:rsid w:val="2E1348A7"/>
    <w:rsid w:val="2E3F2A1C"/>
    <w:rsid w:val="2E6266D9"/>
    <w:rsid w:val="2E7523CB"/>
    <w:rsid w:val="2E8D574C"/>
    <w:rsid w:val="2E953036"/>
    <w:rsid w:val="2EAA029D"/>
    <w:rsid w:val="2EB765A5"/>
    <w:rsid w:val="2EC830D0"/>
    <w:rsid w:val="2ED93D96"/>
    <w:rsid w:val="2EDB0A6C"/>
    <w:rsid w:val="2FD75F04"/>
    <w:rsid w:val="300C7EE4"/>
    <w:rsid w:val="30103067"/>
    <w:rsid w:val="3025300D"/>
    <w:rsid w:val="30CD6C9E"/>
    <w:rsid w:val="312406A1"/>
    <w:rsid w:val="313D0EA5"/>
    <w:rsid w:val="31665B97"/>
    <w:rsid w:val="317A00BB"/>
    <w:rsid w:val="319F2879"/>
    <w:rsid w:val="31A15D7C"/>
    <w:rsid w:val="31FC4E6F"/>
    <w:rsid w:val="321C1E43"/>
    <w:rsid w:val="32691F42"/>
    <w:rsid w:val="326E26D7"/>
    <w:rsid w:val="329D55D9"/>
    <w:rsid w:val="33126618"/>
    <w:rsid w:val="33334C5D"/>
    <w:rsid w:val="33BC56DC"/>
    <w:rsid w:val="34432ACD"/>
    <w:rsid w:val="344A041F"/>
    <w:rsid w:val="34C57BA3"/>
    <w:rsid w:val="34DE2CCB"/>
    <w:rsid w:val="3504212C"/>
    <w:rsid w:val="351849C1"/>
    <w:rsid w:val="35594C43"/>
    <w:rsid w:val="3577485D"/>
    <w:rsid w:val="35B20725"/>
    <w:rsid w:val="35B71AE4"/>
    <w:rsid w:val="35C51944"/>
    <w:rsid w:val="35D774FD"/>
    <w:rsid w:val="36013D27"/>
    <w:rsid w:val="36645FCA"/>
    <w:rsid w:val="367365E5"/>
    <w:rsid w:val="36883247"/>
    <w:rsid w:val="36962041"/>
    <w:rsid w:val="36AA77BD"/>
    <w:rsid w:val="371264BB"/>
    <w:rsid w:val="37161C1F"/>
    <w:rsid w:val="37364124"/>
    <w:rsid w:val="373D426B"/>
    <w:rsid w:val="37624BE8"/>
    <w:rsid w:val="37872FC4"/>
    <w:rsid w:val="38527817"/>
    <w:rsid w:val="385E6B8E"/>
    <w:rsid w:val="3864605D"/>
    <w:rsid w:val="38A5656B"/>
    <w:rsid w:val="391D2199"/>
    <w:rsid w:val="3936578F"/>
    <w:rsid w:val="394713D0"/>
    <w:rsid w:val="3961212F"/>
    <w:rsid w:val="399C6A91"/>
    <w:rsid w:val="39F0651B"/>
    <w:rsid w:val="39FA26AE"/>
    <w:rsid w:val="39FB720A"/>
    <w:rsid w:val="3A0B2CF9"/>
    <w:rsid w:val="3A3F4ABC"/>
    <w:rsid w:val="3AF00475"/>
    <w:rsid w:val="3AF91BA6"/>
    <w:rsid w:val="3B52394A"/>
    <w:rsid w:val="3B5B1163"/>
    <w:rsid w:val="3B6C511E"/>
    <w:rsid w:val="3BA83F70"/>
    <w:rsid w:val="3BAA3A4A"/>
    <w:rsid w:val="3C0E0886"/>
    <w:rsid w:val="3C112402"/>
    <w:rsid w:val="3C2564DA"/>
    <w:rsid w:val="3C304F35"/>
    <w:rsid w:val="3C577F8F"/>
    <w:rsid w:val="3CB84AED"/>
    <w:rsid w:val="3CC51993"/>
    <w:rsid w:val="3CF950D8"/>
    <w:rsid w:val="3D06102C"/>
    <w:rsid w:val="3D471A96"/>
    <w:rsid w:val="3DA05553"/>
    <w:rsid w:val="3DEC5488"/>
    <w:rsid w:val="3E0456CC"/>
    <w:rsid w:val="3E636D6A"/>
    <w:rsid w:val="3F966F6B"/>
    <w:rsid w:val="3FCF5C3C"/>
    <w:rsid w:val="3FE33A81"/>
    <w:rsid w:val="40261ECE"/>
    <w:rsid w:val="4060552B"/>
    <w:rsid w:val="40AA1C33"/>
    <w:rsid w:val="40CB061C"/>
    <w:rsid w:val="40CE13E2"/>
    <w:rsid w:val="40E63BC5"/>
    <w:rsid w:val="410F0A26"/>
    <w:rsid w:val="41267873"/>
    <w:rsid w:val="413C1A16"/>
    <w:rsid w:val="4149735F"/>
    <w:rsid w:val="41636052"/>
    <w:rsid w:val="4199652C"/>
    <w:rsid w:val="41E8453E"/>
    <w:rsid w:val="41EF0857"/>
    <w:rsid w:val="422B5A9B"/>
    <w:rsid w:val="425B5639"/>
    <w:rsid w:val="4298644F"/>
    <w:rsid w:val="42AE0712"/>
    <w:rsid w:val="42B2733B"/>
    <w:rsid w:val="42CC3426"/>
    <w:rsid w:val="42D4553E"/>
    <w:rsid w:val="42E71A52"/>
    <w:rsid w:val="42EC3520"/>
    <w:rsid w:val="4311622D"/>
    <w:rsid w:val="431E5D87"/>
    <w:rsid w:val="43346E69"/>
    <w:rsid w:val="43386634"/>
    <w:rsid w:val="435B28AD"/>
    <w:rsid w:val="43664E65"/>
    <w:rsid w:val="43D302B8"/>
    <w:rsid w:val="44302CEE"/>
    <w:rsid w:val="443D3AFC"/>
    <w:rsid w:val="44647CC4"/>
    <w:rsid w:val="44781760"/>
    <w:rsid w:val="44D053E0"/>
    <w:rsid w:val="45061A4C"/>
    <w:rsid w:val="451A5BEB"/>
    <w:rsid w:val="45255657"/>
    <w:rsid w:val="454B661F"/>
    <w:rsid w:val="45BF1CE9"/>
    <w:rsid w:val="45D70058"/>
    <w:rsid w:val="45FE2E3F"/>
    <w:rsid w:val="467224C3"/>
    <w:rsid w:val="47546D12"/>
    <w:rsid w:val="47632B42"/>
    <w:rsid w:val="4794337F"/>
    <w:rsid w:val="47983DB5"/>
    <w:rsid w:val="484418FD"/>
    <w:rsid w:val="484F3AB2"/>
    <w:rsid w:val="48AC74A2"/>
    <w:rsid w:val="48B325DE"/>
    <w:rsid w:val="48CC68FF"/>
    <w:rsid w:val="48D3318F"/>
    <w:rsid w:val="48E00EFA"/>
    <w:rsid w:val="48E674A9"/>
    <w:rsid w:val="493010A1"/>
    <w:rsid w:val="49516B58"/>
    <w:rsid w:val="49B83F7E"/>
    <w:rsid w:val="49CF4E2D"/>
    <w:rsid w:val="49FA3AEE"/>
    <w:rsid w:val="49FE24F4"/>
    <w:rsid w:val="4A227A1C"/>
    <w:rsid w:val="4A267E35"/>
    <w:rsid w:val="4A58168F"/>
    <w:rsid w:val="4AC46A3A"/>
    <w:rsid w:val="4ACB13FC"/>
    <w:rsid w:val="4B1C17A4"/>
    <w:rsid w:val="4B2E4DE4"/>
    <w:rsid w:val="4B35476F"/>
    <w:rsid w:val="4B434D8A"/>
    <w:rsid w:val="4BAF0679"/>
    <w:rsid w:val="4BF25429"/>
    <w:rsid w:val="4BFA6AB7"/>
    <w:rsid w:val="4C0E55F3"/>
    <w:rsid w:val="4C2E2CE5"/>
    <w:rsid w:val="4C324162"/>
    <w:rsid w:val="4C6961A4"/>
    <w:rsid w:val="4C7F6730"/>
    <w:rsid w:val="4C9C74BC"/>
    <w:rsid w:val="4CB726ED"/>
    <w:rsid w:val="4CD47C18"/>
    <w:rsid w:val="4DC4703C"/>
    <w:rsid w:val="4E2A34C8"/>
    <w:rsid w:val="4E2B47CD"/>
    <w:rsid w:val="4E633B43"/>
    <w:rsid w:val="4E944BD5"/>
    <w:rsid w:val="4E962786"/>
    <w:rsid w:val="4EBD3D3C"/>
    <w:rsid w:val="4EF7784F"/>
    <w:rsid w:val="4F1C1B57"/>
    <w:rsid w:val="4F2E70FE"/>
    <w:rsid w:val="4F4C72E9"/>
    <w:rsid w:val="4F5E1BAB"/>
    <w:rsid w:val="4FB758F2"/>
    <w:rsid w:val="4FB768B5"/>
    <w:rsid w:val="4FDA0C90"/>
    <w:rsid w:val="4FEE344F"/>
    <w:rsid w:val="4FF45D05"/>
    <w:rsid w:val="50205B81"/>
    <w:rsid w:val="50443074"/>
    <w:rsid w:val="504B45C2"/>
    <w:rsid w:val="50BA02FE"/>
    <w:rsid w:val="50F647FB"/>
    <w:rsid w:val="511E587D"/>
    <w:rsid w:val="512B716F"/>
    <w:rsid w:val="51954DC4"/>
    <w:rsid w:val="51980E89"/>
    <w:rsid w:val="519A4663"/>
    <w:rsid w:val="51C01DAA"/>
    <w:rsid w:val="51DC17B6"/>
    <w:rsid w:val="51E44568"/>
    <w:rsid w:val="51FC1166"/>
    <w:rsid w:val="52117FC9"/>
    <w:rsid w:val="52481FEA"/>
    <w:rsid w:val="52925986"/>
    <w:rsid w:val="529620AE"/>
    <w:rsid w:val="529A3EE1"/>
    <w:rsid w:val="52B1623B"/>
    <w:rsid w:val="52B63606"/>
    <w:rsid w:val="52BE21E8"/>
    <w:rsid w:val="52DE38FD"/>
    <w:rsid w:val="52FC75B4"/>
    <w:rsid w:val="53032806"/>
    <w:rsid w:val="53426A39"/>
    <w:rsid w:val="536F35A6"/>
    <w:rsid w:val="53705194"/>
    <w:rsid w:val="53714FF4"/>
    <w:rsid w:val="5392268C"/>
    <w:rsid w:val="53C80811"/>
    <w:rsid w:val="53E9787B"/>
    <w:rsid w:val="540909EB"/>
    <w:rsid w:val="544B4013"/>
    <w:rsid w:val="5457656B"/>
    <w:rsid w:val="54660D84"/>
    <w:rsid w:val="54660FC2"/>
    <w:rsid w:val="546B1888"/>
    <w:rsid w:val="546C518D"/>
    <w:rsid w:val="549459BA"/>
    <w:rsid w:val="54AA570B"/>
    <w:rsid w:val="54BE2A98"/>
    <w:rsid w:val="54DC562C"/>
    <w:rsid w:val="552B0D08"/>
    <w:rsid w:val="558275C0"/>
    <w:rsid w:val="558624E1"/>
    <w:rsid w:val="55BC38B4"/>
    <w:rsid w:val="563A433F"/>
    <w:rsid w:val="564A221E"/>
    <w:rsid w:val="565405AF"/>
    <w:rsid w:val="56794E67"/>
    <w:rsid w:val="56971BE9"/>
    <w:rsid w:val="5697740A"/>
    <w:rsid w:val="56A63783"/>
    <w:rsid w:val="56C66D92"/>
    <w:rsid w:val="56DC53F6"/>
    <w:rsid w:val="571E12FD"/>
    <w:rsid w:val="57840B20"/>
    <w:rsid w:val="57CA0BC1"/>
    <w:rsid w:val="57ED06D1"/>
    <w:rsid w:val="58160494"/>
    <w:rsid w:val="585844FD"/>
    <w:rsid w:val="586719D9"/>
    <w:rsid w:val="58951D01"/>
    <w:rsid w:val="589F0489"/>
    <w:rsid w:val="58CC7D3F"/>
    <w:rsid w:val="58DA37D1"/>
    <w:rsid w:val="58F70B83"/>
    <w:rsid w:val="59070E1D"/>
    <w:rsid w:val="5945561B"/>
    <w:rsid w:val="59B966C3"/>
    <w:rsid w:val="5A837291"/>
    <w:rsid w:val="5AEC7FFD"/>
    <w:rsid w:val="5B3B45B8"/>
    <w:rsid w:val="5B423ECD"/>
    <w:rsid w:val="5B74479A"/>
    <w:rsid w:val="5B7C510D"/>
    <w:rsid w:val="5BAF1661"/>
    <w:rsid w:val="5BB07212"/>
    <w:rsid w:val="5BD25782"/>
    <w:rsid w:val="5C4F5402"/>
    <w:rsid w:val="5C7133B8"/>
    <w:rsid w:val="5C723888"/>
    <w:rsid w:val="5CA15B97"/>
    <w:rsid w:val="5CBB6CB0"/>
    <w:rsid w:val="5CDC4C66"/>
    <w:rsid w:val="5CE345F1"/>
    <w:rsid w:val="5CEB7973"/>
    <w:rsid w:val="5CEC6008"/>
    <w:rsid w:val="5D0631CD"/>
    <w:rsid w:val="5D1C02FB"/>
    <w:rsid w:val="5D1C12D3"/>
    <w:rsid w:val="5D5C7089"/>
    <w:rsid w:val="5DC77BA2"/>
    <w:rsid w:val="5E04700C"/>
    <w:rsid w:val="5E280F21"/>
    <w:rsid w:val="5E793037"/>
    <w:rsid w:val="5EE72B8A"/>
    <w:rsid w:val="5EFD1D4D"/>
    <w:rsid w:val="5F184590"/>
    <w:rsid w:val="5F1F779F"/>
    <w:rsid w:val="5F5F7B97"/>
    <w:rsid w:val="5F8261BE"/>
    <w:rsid w:val="602A0F80"/>
    <w:rsid w:val="604E7E90"/>
    <w:rsid w:val="60BB2A43"/>
    <w:rsid w:val="60E22BF3"/>
    <w:rsid w:val="61037C0C"/>
    <w:rsid w:val="614122CC"/>
    <w:rsid w:val="619736AB"/>
    <w:rsid w:val="623674AE"/>
    <w:rsid w:val="626D4608"/>
    <w:rsid w:val="62950991"/>
    <w:rsid w:val="62FA54F0"/>
    <w:rsid w:val="630F1C12"/>
    <w:rsid w:val="634618F9"/>
    <w:rsid w:val="63B776CD"/>
    <w:rsid w:val="63E42EEF"/>
    <w:rsid w:val="6482499D"/>
    <w:rsid w:val="64B14BC2"/>
    <w:rsid w:val="650049A6"/>
    <w:rsid w:val="65113AC4"/>
    <w:rsid w:val="65187A69"/>
    <w:rsid w:val="654B3E73"/>
    <w:rsid w:val="659155FE"/>
    <w:rsid w:val="65A92947"/>
    <w:rsid w:val="65D6587A"/>
    <w:rsid w:val="664E34EF"/>
    <w:rsid w:val="66546760"/>
    <w:rsid w:val="667E0635"/>
    <w:rsid w:val="66EA5766"/>
    <w:rsid w:val="66FC171C"/>
    <w:rsid w:val="66FC2F4B"/>
    <w:rsid w:val="672B61CF"/>
    <w:rsid w:val="673E51F0"/>
    <w:rsid w:val="677A75D3"/>
    <w:rsid w:val="67C4501E"/>
    <w:rsid w:val="67CB3C1E"/>
    <w:rsid w:val="67DD3A75"/>
    <w:rsid w:val="67E9310A"/>
    <w:rsid w:val="687D5B7C"/>
    <w:rsid w:val="68A044D6"/>
    <w:rsid w:val="68A11FFC"/>
    <w:rsid w:val="68CF6880"/>
    <w:rsid w:val="69123E71"/>
    <w:rsid w:val="69475245"/>
    <w:rsid w:val="695F3CBF"/>
    <w:rsid w:val="69983D07"/>
    <w:rsid w:val="699E413F"/>
    <w:rsid w:val="69E13245"/>
    <w:rsid w:val="6A1231B1"/>
    <w:rsid w:val="6A1E27E4"/>
    <w:rsid w:val="6AD62431"/>
    <w:rsid w:val="6B823960"/>
    <w:rsid w:val="6BBA7620"/>
    <w:rsid w:val="6C20148A"/>
    <w:rsid w:val="6C506213"/>
    <w:rsid w:val="6C564BBD"/>
    <w:rsid w:val="6CF77AF3"/>
    <w:rsid w:val="6CFA617E"/>
    <w:rsid w:val="6D08089B"/>
    <w:rsid w:val="6D305B30"/>
    <w:rsid w:val="6D3754BB"/>
    <w:rsid w:val="6D3B1125"/>
    <w:rsid w:val="6D465AD5"/>
    <w:rsid w:val="6D4C79DE"/>
    <w:rsid w:val="6D5238C5"/>
    <w:rsid w:val="6D7E5C2F"/>
    <w:rsid w:val="6D8E174D"/>
    <w:rsid w:val="6DC0432B"/>
    <w:rsid w:val="6E004F03"/>
    <w:rsid w:val="6E1A6AD8"/>
    <w:rsid w:val="6E3A41E4"/>
    <w:rsid w:val="6E742726"/>
    <w:rsid w:val="6E7736BC"/>
    <w:rsid w:val="6EA91C6D"/>
    <w:rsid w:val="6EF660A4"/>
    <w:rsid w:val="6F051226"/>
    <w:rsid w:val="6F424616"/>
    <w:rsid w:val="6F6150E1"/>
    <w:rsid w:val="6F7B1AEF"/>
    <w:rsid w:val="6F9E6F2E"/>
    <w:rsid w:val="701139EA"/>
    <w:rsid w:val="702E6EEE"/>
    <w:rsid w:val="702F21E7"/>
    <w:rsid w:val="70400CB6"/>
    <w:rsid w:val="70606FEC"/>
    <w:rsid w:val="70636625"/>
    <w:rsid w:val="707B5618"/>
    <w:rsid w:val="709957D5"/>
    <w:rsid w:val="70EC5DDE"/>
    <w:rsid w:val="711D4E21"/>
    <w:rsid w:val="71235CA4"/>
    <w:rsid w:val="71253127"/>
    <w:rsid w:val="713B43D1"/>
    <w:rsid w:val="71432CF3"/>
    <w:rsid w:val="717B0617"/>
    <w:rsid w:val="71823031"/>
    <w:rsid w:val="719E278D"/>
    <w:rsid w:val="71BB3A25"/>
    <w:rsid w:val="71F96A05"/>
    <w:rsid w:val="722B1E8D"/>
    <w:rsid w:val="723423EA"/>
    <w:rsid w:val="72367C59"/>
    <w:rsid w:val="72BD6ACB"/>
    <w:rsid w:val="72DD4E02"/>
    <w:rsid w:val="731068D5"/>
    <w:rsid w:val="73487201"/>
    <w:rsid w:val="73927DA8"/>
    <w:rsid w:val="73C2417B"/>
    <w:rsid w:val="73F13E37"/>
    <w:rsid w:val="73F60FD0"/>
    <w:rsid w:val="73F71642"/>
    <w:rsid w:val="745F01DC"/>
    <w:rsid w:val="746556BE"/>
    <w:rsid w:val="749B69F9"/>
    <w:rsid w:val="74B310ED"/>
    <w:rsid w:val="74BC1873"/>
    <w:rsid w:val="753C2362"/>
    <w:rsid w:val="753C6389"/>
    <w:rsid w:val="758849E0"/>
    <w:rsid w:val="758A3766"/>
    <w:rsid w:val="758E216C"/>
    <w:rsid w:val="759907F6"/>
    <w:rsid w:val="75A91B22"/>
    <w:rsid w:val="75E03DB6"/>
    <w:rsid w:val="75E74F8A"/>
    <w:rsid w:val="76097931"/>
    <w:rsid w:val="7625426C"/>
    <w:rsid w:val="766C6C2F"/>
    <w:rsid w:val="76B52A9A"/>
    <w:rsid w:val="76DF3EDE"/>
    <w:rsid w:val="76F507BA"/>
    <w:rsid w:val="77291F0E"/>
    <w:rsid w:val="773D6076"/>
    <w:rsid w:val="77401B33"/>
    <w:rsid w:val="7781252A"/>
    <w:rsid w:val="77D4698D"/>
    <w:rsid w:val="78042B76"/>
    <w:rsid w:val="782E4890"/>
    <w:rsid w:val="78397168"/>
    <w:rsid w:val="783A3050"/>
    <w:rsid w:val="78650950"/>
    <w:rsid w:val="787E7C64"/>
    <w:rsid w:val="792D0A54"/>
    <w:rsid w:val="79337F6D"/>
    <w:rsid w:val="7971692E"/>
    <w:rsid w:val="79C4251B"/>
    <w:rsid w:val="7A0D5743"/>
    <w:rsid w:val="7A155DD9"/>
    <w:rsid w:val="7A1946A1"/>
    <w:rsid w:val="7A1F21F4"/>
    <w:rsid w:val="7A3F0883"/>
    <w:rsid w:val="7A8F5AA2"/>
    <w:rsid w:val="7AB4796D"/>
    <w:rsid w:val="7BA7652D"/>
    <w:rsid w:val="7BA91428"/>
    <w:rsid w:val="7BD173B3"/>
    <w:rsid w:val="7BDA26C1"/>
    <w:rsid w:val="7C1A44EB"/>
    <w:rsid w:val="7C282D78"/>
    <w:rsid w:val="7C61599E"/>
    <w:rsid w:val="7C9F0D06"/>
    <w:rsid w:val="7CFE1373"/>
    <w:rsid w:val="7D042C28"/>
    <w:rsid w:val="7D1D701A"/>
    <w:rsid w:val="7D6D4BD6"/>
    <w:rsid w:val="7DFC570D"/>
    <w:rsid w:val="7E07472A"/>
    <w:rsid w:val="7E7968F1"/>
    <w:rsid w:val="7E8471C3"/>
    <w:rsid w:val="7EC42148"/>
    <w:rsid w:val="7EEF5DC2"/>
    <w:rsid w:val="7EF02F3D"/>
    <w:rsid w:val="7F211C9E"/>
    <w:rsid w:val="7F3776C5"/>
    <w:rsid w:val="7F405249"/>
    <w:rsid w:val="7F5524F8"/>
    <w:rsid w:val="7F5E7584"/>
    <w:rsid w:val="7FB95889"/>
    <w:rsid w:val="7FDC0AF3"/>
    <w:rsid w:val="7FDF3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217"/>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218"/>
    <w:qFormat/>
    <w:uiPriority w:val="0"/>
    <w:pPr>
      <w:pBdr>
        <w:top w:val="none" w:color="auto" w:sz="0" w:space="0"/>
      </w:pBdr>
      <w:spacing w:before="180"/>
      <w:outlineLvl w:val="1"/>
    </w:pPr>
    <w:rPr>
      <w:sz w:val="32"/>
    </w:rPr>
  </w:style>
  <w:style w:type="paragraph" w:styleId="4">
    <w:name w:val="heading 3"/>
    <w:basedOn w:val="3"/>
    <w:next w:val="1"/>
    <w:link w:val="216"/>
    <w:qFormat/>
    <w:uiPriority w:val="0"/>
    <w:pPr>
      <w:spacing w:before="120"/>
      <w:outlineLvl w:val="2"/>
    </w:pPr>
    <w:rPr>
      <w:sz w:val="28"/>
    </w:rPr>
  </w:style>
  <w:style w:type="paragraph" w:styleId="5">
    <w:name w:val="heading 4"/>
    <w:basedOn w:val="4"/>
    <w:next w:val="1"/>
    <w:link w:val="214"/>
    <w:qFormat/>
    <w:uiPriority w:val="0"/>
    <w:pPr>
      <w:ind w:left="1418" w:hanging="1418"/>
      <w:outlineLvl w:val="3"/>
    </w:pPr>
    <w:rPr>
      <w:sz w:val="24"/>
    </w:rPr>
  </w:style>
  <w:style w:type="paragraph" w:styleId="6">
    <w:name w:val="heading 5"/>
    <w:basedOn w:val="5"/>
    <w:next w:val="1"/>
    <w:link w:val="158"/>
    <w:qFormat/>
    <w:uiPriority w:val="0"/>
    <w:pPr>
      <w:ind w:left="1701" w:hanging="1701"/>
      <w:outlineLvl w:val="4"/>
    </w:pPr>
    <w:rPr>
      <w:sz w:val="22"/>
    </w:rPr>
  </w:style>
  <w:style w:type="paragraph" w:styleId="7">
    <w:name w:val="heading 6"/>
    <w:basedOn w:val="8"/>
    <w:next w:val="1"/>
    <w:link w:val="150"/>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82"/>
    <w:qFormat/>
    <w:uiPriority w:val="0"/>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9"/>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5"/>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7"/>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7"/>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8"/>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100"/>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3"/>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3"/>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5"/>
    <w:qFormat/>
    <w:uiPriority w:val="0"/>
    <w:pPr>
      <w:jc w:val="center"/>
    </w:pPr>
    <w:rPr>
      <w:i/>
    </w:rPr>
  </w:style>
  <w:style w:type="paragraph" w:styleId="40">
    <w:name w:val="header"/>
    <w:link w:val="12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Subtitle"/>
    <w:basedOn w:val="1"/>
    <w:next w:val="1"/>
    <w:link w:val="156"/>
    <w:qFormat/>
    <w:uiPriority w:val="0"/>
    <w:pPr>
      <w:snapToGrid w:val="0"/>
      <w:spacing w:after="60" w:line="276" w:lineRule="auto"/>
      <w:jc w:val="center"/>
      <w:outlineLvl w:val="1"/>
    </w:pPr>
    <w:rPr>
      <w:rFonts w:ascii="Cambria" w:hAnsi="Cambria"/>
      <w:sz w:val="24"/>
      <w:szCs w:val="24"/>
      <w:lang w:eastAsia="en-IN"/>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21"/>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6">
    <w:name w:val="toc 9"/>
    <w:basedOn w:val="36"/>
    <w:next w:val="1"/>
    <w:qFormat/>
    <w:uiPriority w:val="0"/>
    <w:pPr>
      <w:ind w:left="1418" w:hanging="1418"/>
    </w:pPr>
  </w:style>
  <w:style w:type="paragraph" w:styleId="47">
    <w:name w:val="Body Text 2"/>
    <w:basedOn w:val="1"/>
    <w:link w:val="157"/>
    <w:qFormat/>
    <w:uiPriority w:val="0"/>
    <w:pPr>
      <w:tabs>
        <w:tab w:val="left" w:pos="1985"/>
      </w:tabs>
      <w:snapToGrid w:val="0"/>
      <w:spacing w:after="0" w:line="276" w:lineRule="auto"/>
      <w:jc w:val="both"/>
    </w:pPr>
    <w:rPr>
      <w:rFonts w:ascii="Arial" w:hAnsi="Arial"/>
      <w:sz w:val="22"/>
      <w:lang w:eastAsia="en-IN"/>
    </w:rPr>
  </w:style>
  <w:style w:type="paragraph" w:styleId="48">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Title"/>
    <w:basedOn w:val="1"/>
    <w:link w:val="106"/>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2">
    <w:name w:val="annotation subject"/>
    <w:basedOn w:val="30"/>
    <w:next w:val="30"/>
    <w:link w:val="119"/>
    <w:qFormat/>
    <w:uiPriority w:val="0"/>
    <w:rPr>
      <w:b/>
      <w:sz w:val="24"/>
    </w:rPr>
  </w:style>
  <w:style w:type="table" w:styleId="54">
    <w:name w:val="Table Grid"/>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22"/>
    <w:rPr>
      <w:b/>
      <w:bCs/>
    </w:rPr>
  </w:style>
  <w:style w:type="character" w:styleId="57">
    <w:name w:val="page number"/>
    <w:basedOn w:val="55"/>
    <w:qFormat/>
    <w:uiPriority w:val="0"/>
  </w:style>
  <w:style w:type="character" w:styleId="58">
    <w:name w:val="FollowedHyperlink"/>
    <w:qFormat/>
    <w:uiPriority w:val="99"/>
    <w:rPr>
      <w:color w:val="800080"/>
      <w:u w:val="single"/>
    </w:rPr>
  </w:style>
  <w:style w:type="character" w:styleId="59">
    <w:name w:val="Emphasis"/>
    <w:basedOn w:val="55"/>
    <w:qFormat/>
    <w:uiPriority w:val="0"/>
    <w:rPr>
      <w:i/>
      <w:iCs/>
    </w:rPr>
  </w:style>
  <w:style w:type="character" w:styleId="60">
    <w:name w:val="Hyperlink"/>
    <w:qFormat/>
    <w:uiPriority w:val="99"/>
    <w:rPr>
      <w:color w:val="0000FF"/>
      <w:u w:val="single"/>
    </w:rPr>
  </w:style>
  <w:style w:type="character" w:styleId="61">
    <w:name w:val="annotation reference"/>
    <w:qFormat/>
    <w:uiPriority w:val="0"/>
    <w:rPr>
      <w:rFonts w:eastAsia="Times New Roman"/>
      <w:kern w:val="2"/>
      <w:sz w:val="16"/>
      <w:lang w:val="en-GB"/>
    </w:rPr>
  </w:style>
  <w:style w:type="character" w:styleId="62">
    <w:name w:val="footnote reference"/>
    <w:basedOn w:val="55"/>
    <w:semiHidden/>
    <w:qFormat/>
    <w:uiPriority w:val="0"/>
    <w:rPr>
      <w:b/>
      <w:position w:val="6"/>
      <w:sz w:val="16"/>
    </w:rPr>
  </w:style>
  <w:style w:type="paragraph" w:customStyle="1" w:styleId="63">
    <w:name w:val="FP"/>
    <w:basedOn w:val="1"/>
    <w:qFormat/>
    <w:uiPriority w:val="0"/>
    <w:pPr>
      <w:spacing w:after="0"/>
    </w:p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AH"/>
    <w:basedOn w:val="68"/>
    <w:link w:val="125"/>
    <w:qFormat/>
    <w:uiPriority w:val="0"/>
    <w:rPr>
      <w:b/>
    </w:rPr>
  </w:style>
  <w:style w:type="paragraph" w:customStyle="1" w:styleId="68">
    <w:name w:val="TAC"/>
    <w:basedOn w:val="69"/>
    <w:link w:val="124"/>
    <w:qFormat/>
    <w:uiPriority w:val="0"/>
    <w:pPr>
      <w:jc w:val="center"/>
    </w:pPr>
  </w:style>
  <w:style w:type="paragraph" w:customStyle="1" w:styleId="69">
    <w:name w:val="TAL"/>
    <w:basedOn w:val="1"/>
    <w:link w:val="147"/>
    <w:qFormat/>
    <w:uiPriority w:val="0"/>
    <w:pPr>
      <w:keepNext/>
      <w:keepLines/>
      <w:spacing w:after="0"/>
    </w:pPr>
    <w:rPr>
      <w:rFonts w:ascii="Arial" w:hAnsi="Arial"/>
      <w:sz w:val="18"/>
    </w:rPr>
  </w:style>
  <w:style w:type="paragraph" w:customStyle="1" w:styleId="70">
    <w:name w:val="TF"/>
    <w:basedOn w:val="71"/>
    <w:qFormat/>
    <w:uiPriority w:val="0"/>
    <w:pPr>
      <w:keepNext w:val="0"/>
      <w:spacing w:before="0" w:after="240"/>
    </w:pPr>
  </w:style>
  <w:style w:type="paragraph" w:customStyle="1" w:styleId="71">
    <w:name w:val="TH"/>
    <w:basedOn w:val="1"/>
    <w:link w:val="146"/>
    <w:qFormat/>
    <w:uiPriority w:val="0"/>
    <w:pPr>
      <w:keepNext/>
      <w:keepLines/>
      <w:spacing w:before="60"/>
      <w:jc w:val="center"/>
    </w:pPr>
    <w:rPr>
      <w:rFonts w:ascii="Arial" w:hAnsi="Arial"/>
      <w:b/>
    </w:rPr>
  </w:style>
  <w:style w:type="paragraph" w:customStyle="1" w:styleId="72">
    <w:name w:val="NO"/>
    <w:basedOn w:val="1"/>
    <w:link w:val="151"/>
    <w:qFormat/>
    <w:uiPriority w:val="0"/>
    <w:pPr>
      <w:keepLines/>
      <w:ind w:left="1135" w:hanging="851"/>
    </w:pPr>
  </w:style>
  <w:style w:type="paragraph" w:customStyle="1" w:styleId="73">
    <w:name w:val="EX"/>
    <w:basedOn w:val="1"/>
    <w:qFormat/>
    <w:uiPriority w:val="0"/>
    <w:pPr>
      <w:keepLines/>
      <w:ind w:left="1702" w:hanging="1418"/>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5">
    <w:name w:val="NW"/>
    <w:basedOn w:val="72"/>
    <w:qFormat/>
    <w:uiPriority w:val="0"/>
    <w:pPr>
      <w:spacing w:after="0"/>
    </w:pPr>
  </w:style>
  <w:style w:type="paragraph" w:customStyle="1" w:styleId="76">
    <w:name w:val="EW"/>
    <w:basedOn w:val="73"/>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72"/>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0">
    <w:name w:val="TAR"/>
    <w:basedOn w:val="69"/>
    <w:qFormat/>
    <w:uiPriority w:val="0"/>
    <w:pPr>
      <w:jc w:val="right"/>
    </w:pPr>
  </w:style>
  <w:style w:type="paragraph" w:customStyle="1" w:styleId="81">
    <w:name w:val="TAN"/>
    <w:basedOn w:val="69"/>
    <w:link w:val="144"/>
    <w:qFormat/>
    <w:uiPriority w:val="0"/>
    <w:pPr>
      <w:ind w:left="851" w:hanging="851"/>
    </w:pPr>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9">
    <w:name w:val="Editor's Note"/>
    <w:basedOn w:val="72"/>
    <w:qFormat/>
    <w:uiPriority w:val="0"/>
    <w:rPr>
      <w:color w:val="FF0000"/>
    </w:rPr>
  </w:style>
  <w:style w:type="paragraph" w:customStyle="1" w:styleId="90">
    <w:name w:val="B1"/>
    <w:basedOn w:val="14"/>
    <w:link w:val="138"/>
    <w:qFormat/>
    <w:uiPriority w:val="0"/>
  </w:style>
  <w:style w:type="paragraph" w:customStyle="1" w:styleId="91">
    <w:name w:val="B2"/>
    <w:basedOn w:val="13"/>
    <w:link w:val="185"/>
    <w:qFormat/>
    <w:uiPriority w:val="0"/>
  </w:style>
  <w:style w:type="paragraph" w:customStyle="1" w:styleId="92">
    <w:name w:val="B3"/>
    <w:basedOn w:val="12"/>
    <w:qFormat/>
    <w:uiPriority w:val="0"/>
  </w:style>
  <w:style w:type="paragraph" w:customStyle="1" w:styleId="93">
    <w:name w:val="B4"/>
    <w:basedOn w:val="44"/>
    <w:qFormat/>
    <w:uiPriority w:val="0"/>
  </w:style>
  <w:style w:type="paragraph" w:customStyle="1" w:styleId="94">
    <w:name w:val="B5"/>
    <w:basedOn w:val="43"/>
    <w:qFormat/>
    <w:uiPriority w:val="0"/>
  </w:style>
  <w:style w:type="paragraph" w:customStyle="1" w:styleId="95">
    <w:name w:val="ZTD"/>
    <w:basedOn w:val="83"/>
    <w:qFormat/>
    <w:uiPriority w:val="0"/>
    <w:pPr>
      <w:framePr w:hRule="auto" w:y="852"/>
    </w:pPr>
    <w:rPr>
      <w:i w:val="0"/>
      <w:sz w:val="40"/>
    </w:rPr>
  </w:style>
  <w:style w:type="paragraph" w:customStyle="1" w:styleId="96">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7">
    <w:name w:val="正文文本 字符"/>
    <w:link w:val="32"/>
    <w:qFormat/>
    <w:uiPriority w:val="0"/>
    <w:rPr>
      <w:rFonts w:eastAsia="MS Gothic"/>
      <w:sz w:val="24"/>
      <w:lang w:val="en-GB"/>
    </w:rPr>
  </w:style>
  <w:style w:type="character" w:customStyle="1" w:styleId="98">
    <w:name w:val="正文文本缩进 字符"/>
    <w:link w:val="33"/>
    <w:qFormat/>
    <w:uiPriority w:val="0"/>
    <w:rPr>
      <w:rFonts w:eastAsia="MS Gothic"/>
      <w:sz w:val="24"/>
      <w:lang w:val="en-GB"/>
    </w:rPr>
  </w:style>
  <w:style w:type="character" w:customStyle="1" w:styleId="99">
    <w:name w:val="文档结构图 字符"/>
    <w:link w:val="29"/>
    <w:qFormat/>
    <w:uiPriority w:val="0"/>
    <w:rPr>
      <w:rFonts w:ascii="Tahoma" w:hAnsi="Tahoma" w:eastAsia="MS Gothic"/>
      <w:sz w:val="24"/>
      <w:shd w:val="clear" w:color="auto" w:fill="000080"/>
      <w:lang w:val="en-GB"/>
    </w:rPr>
  </w:style>
  <w:style w:type="character" w:customStyle="1" w:styleId="100">
    <w:name w:val="纯文本 字符"/>
    <w:link w:val="34"/>
    <w:qFormat/>
    <w:uiPriority w:val="0"/>
    <w:rPr>
      <w:rFonts w:ascii="Courier New" w:hAnsi="Courier New" w:eastAsia="MS Gothic"/>
      <w:sz w:val="24"/>
      <w:lang w:val="en-GB"/>
    </w:rPr>
  </w:style>
  <w:style w:type="paragraph" w:customStyle="1" w:styleId="101">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2">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3">
    <w:name w:val="正文文本缩进 2 字符"/>
    <w:link w:val="37"/>
    <w:qFormat/>
    <w:uiPriority w:val="0"/>
    <w:rPr>
      <w:rFonts w:eastAsia="MS Gothic"/>
      <w:kern w:val="2"/>
      <w:sz w:val="24"/>
      <w:lang w:val="en-GB"/>
    </w:rPr>
  </w:style>
  <w:style w:type="paragraph" w:customStyle="1" w:styleId="10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5">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6">
    <w:name w:val="标题 字符"/>
    <w:link w:val="51"/>
    <w:qFormat/>
    <w:uiPriority w:val="0"/>
    <w:rPr>
      <w:rFonts w:ascii="Arial" w:hAnsi="Arial" w:eastAsia="MS Gothic"/>
      <w:b/>
      <w:sz w:val="24"/>
      <w:lang w:val="en-GB"/>
    </w:rPr>
  </w:style>
  <w:style w:type="character" w:customStyle="1" w:styleId="107">
    <w:name w:val="正文文本 3 字符"/>
    <w:link w:val="31"/>
    <w:qFormat/>
    <w:uiPriority w:val="0"/>
    <w:rPr>
      <w:rFonts w:eastAsia="MS Gothic"/>
      <w:sz w:val="24"/>
      <w:lang w:val="en-GB"/>
    </w:rPr>
  </w:style>
  <w:style w:type="paragraph" w:customStyle="1" w:styleId="108">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9">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10">
    <w:name w:val="text intend 1"/>
    <w:basedOn w:val="109"/>
    <w:qFormat/>
    <w:uiPriority w:val="0"/>
    <w:pPr>
      <w:numPr>
        <w:ilvl w:val="0"/>
        <w:numId w:val="2"/>
      </w:numPr>
      <w:spacing w:after="120"/>
    </w:pPr>
  </w:style>
  <w:style w:type="paragraph" w:customStyle="1" w:styleId="111">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2">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3">
    <w:name w:val="批注框文本 字符"/>
    <w:link w:val="38"/>
    <w:qFormat/>
    <w:uiPriority w:val="0"/>
    <w:rPr>
      <w:rFonts w:ascii="Arial" w:hAnsi="Arial" w:eastAsia="MS Gothic"/>
      <w:sz w:val="18"/>
      <w:lang w:val="en-GB"/>
    </w:rPr>
  </w:style>
  <w:style w:type="paragraph" w:customStyle="1" w:styleId="11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5">
    <w:name w:val="批注文字 字符"/>
    <w:link w:val="30"/>
    <w:qFormat/>
    <w:uiPriority w:val="99"/>
    <w:rPr>
      <w:rFonts w:eastAsia="MS Gothic"/>
      <w:lang w:val="en-GB"/>
    </w:rPr>
  </w:style>
  <w:style w:type="paragraph" w:customStyle="1" w:styleId="11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7">
    <w:name w:val="図表番号 (文字)"/>
    <w:qFormat/>
    <w:uiPriority w:val="35"/>
    <w:rPr>
      <w:rFonts w:eastAsia="MS Gothic"/>
      <w:b/>
      <w:kern w:val="2"/>
      <w:sz w:val="24"/>
      <w:lang w:val="en-GB"/>
    </w:rPr>
  </w:style>
  <w:style w:type="paragraph" w:customStyle="1" w:styleId="11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9">
    <w:name w:val="批注主题 字符"/>
    <w:link w:val="52"/>
    <w:qFormat/>
    <w:uiPriority w:val="0"/>
    <w:rPr>
      <w:rFonts w:eastAsia="MS Gothic"/>
      <w:b/>
      <w:sz w:val="24"/>
      <w:lang w:val="en-GB"/>
    </w:rPr>
  </w:style>
  <w:style w:type="paragraph" w:customStyle="1" w:styleId="12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2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4">
    <w:name w:val="TAC Char"/>
    <w:link w:val="68"/>
    <w:qFormat/>
    <w:uiPriority w:val="0"/>
    <w:rPr>
      <w:rFonts w:ascii="Arial" w:hAnsi="Arial" w:eastAsia="Times New Roman"/>
      <w:sz w:val="18"/>
      <w:lang w:val="en-GB" w:eastAsia="en-GB"/>
    </w:rPr>
  </w:style>
  <w:style w:type="character" w:customStyle="1" w:styleId="125">
    <w:name w:val="TAH Car"/>
    <w:link w:val="67"/>
    <w:qFormat/>
    <w:uiPriority w:val="0"/>
    <w:rPr>
      <w:rFonts w:ascii="Arial" w:hAnsi="Arial" w:eastAsia="Times New Roman"/>
      <w:b/>
      <w:sz w:val="18"/>
      <w:lang w:val="en-GB" w:eastAsia="en-GB"/>
    </w:rPr>
  </w:style>
  <w:style w:type="paragraph" w:customStyle="1" w:styleId="12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7">
    <w:name w:val="表 (赤)  71"/>
    <w:hidden/>
    <w:semiHidden/>
    <w:qFormat/>
    <w:uiPriority w:val="99"/>
    <w:rPr>
      <w:rFonts w:ascii="Times New Roman" w:hAnsi="Times New Roman" w:eastAsia="MS Gothic" w:cs="Times New Roman"/>
      <w:sz w:val="24"/>
      <w:lang w:val="en-GB" w:eastAsia="ja-JP" w:bidi="ar-SA"/>
    </w:rPr>
  </w:style>
  <w:style w:type="character" w:customStyle="1" w:styleId="128">
    <w:name w:val="页眉 字符"/>
    <w:link w:val="40"/>
    <w:qFormat/>
    <w:locked/>
    <w:uiPriority w:val="0"/>
    <w:rPr>
      <w:rFonts w:ascii="Arial" w:hAnsi="Arial" w:eastAsia="Times New Roman"/>
      <w:b/>
      <w:sz w:val="18"/>
      <w:lang w:val="en-GB" w:eastAsia="en-GB"/>
    </w:rPr>
  </w:style>
  <w:style w:type="paragraph" w:customStyle="1" w:styleId="129">
    <w:name w:val="修订1"/>
    <w:hidden/>
    <w:semiHidden/>
    <w:qFormat/>
    <w:uiPriority w:val="99"/>
    <w:rPr>
      <w:rFonts w:ascii="Times New Roman" w:hAnsi="Times New Roman" w:eastAsia="MS Gothic" w:cs="Times New Roman"/>
      <w:sz w:val="24"/>
      <w:lang w:val="en-GB" w:eastAsia="ja-JP" w:bidi="ar-SA"/>
    </w:rPr>
  </w:style>
  <w:style w:type="paragraph" w:customStyle="1" w:styleId="130">
    <w:name w:val="Doc-title"/>
    <w:basedOn w:val="1"/>
    <w:next w:val="131"/>
    <w:link w:val="133"/>
    <w:qFormat/>
    <w:uiPriority w:val="0"/>
    <w:pPr>
      <w:overflowPunct/>
      <w:autoSpaceDE/>
      <w:autoSpaceDN/>
      <w:adjustRightInd/>
      <w:spacing w:after="0"/>
      <w:ind w:left="1260" w:hanging="1260"/>
      <w:textAlignment w:val="auto"/>
    </w:pPr>
    <w:rPr>
      <w:rFonts w:ascii="Arial" w:hAnsi="Arial"/>
      <w:szCs w:val="24"/>
    </w:rPr>
  </w:style>
  <w:style w:type="paragraph" w:customStyle="1" w:styleId="131">
    <w:name w:val="Doc-text2"/>
    <w:basedOn w:val="1"/>
    <w:link w:val="132"/>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2">
    <w:name w:val="Doc-text2 Char"/>
    <w:link w:val="131"/>
    <w:qFormat/>
    <w:uiPriority w:val="0"/>
    <w:rPr>
      <w:rFonts w:ascii="Arial" w:hAnsi="Arial"/>
      <w:szCs w:val="24"/>
      <w:lang w:val="en-GB" w:eastAsia="en-GB"/>
    </w:rPr>
  </w:style>
  <w:style w:type="character" w:customStyle="1" w:styleId="133">
    <w:name w:val="Doc-title Char"/>
    <w:link w:val="130"/>
    <w:qFormat/>
    <w:uiPriority w:val="0"/>
    <w:rPr>
      <w:rFonts w:ascii="Arial" w:hAnsi="Arial"/>
      <w:szCs w:val="24"/>
      <w:lang w:val="en-GB" w:eastAsia="en-GB"/>
    </w:rPr>
  </w:style>
  <w:style w:type="paragraph" w:styleId="134">
    <w:name w:val="List Paragraph"/>
    <w:basedOn w:val="1"/>
    <w:link w:val="135"/>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5">
    <w:name w:val="列表段落 字符"/>
    <w:link w:val="134"/>
    <w:qFormat/>
    <w:uiPriority w:val="34"/>
    <w:rPr>
      <w:rFonts w:ascii="Century" w:hAnsi="Century"/>
      <w:kern w:val="2"/>
      <w:sz w:val="21"/>
      <w:szCs w:val="22"/>
    </w:rPr>
  </w:style>
  <w:style w:type="paragraph" w:customStyle="1" w:styleId="136">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7">
    <w:name w:val="main text Char"/>
    <w:link w:val="136"/>
    <w:qFormat/>
    <w:uiPriority w:val="0"/>
    <w:rPr>
      <w:rFonts w:ascii="Calibri" w:hAnsi="Calibri" w:eastAsia="Malgun Gothic" w:cs="Batang"/>
      <w:lang w:val="en-GB" w:eastAsia="ko-KR"/>
    </w:rPr>
  </w:style>
  <w:style w:type="character" w:customStyle="1" w:styleId="138">
    <w:name w:val="B1 Char1"/>
    <w:link w:val="90"/>
    <w:qFormat/>
    <w:locked/>
    <w:uiPriority w:val="0"/>
    <w:rPr>
      <w:rFonts w:eastAsia="Times New Roman"/>
      <w:lang w:val="en-GB" w:eastAsia="en-GB"/>
    </w:rPr>
  </w:style>
  <w:style w:type="paragraph" w:customStyle="1" w:styleId="139">
    <w:name w:val="스타일 스타일 스타일 스타일 양쪽 첫 줄:  2 글자 + 첫 줄:  2 글자 + 첫 줄:  2 글자 + 첫 줄:  2..."/>
    <w:basedOn w:val="1"/>
    <w:link w:val="140"/>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40">
    <w:name w:val="스타일 스타일 스타일 스타일 양쪽 첫 줄:  2 글자 + 첫 줄:  2 글자 + 첫 줄:  2 글자 + 첫 줄:  2... Char"/>
    <w:link w:val="139"/>
    <w:qFormat/>
    <w:uiPriority w:val="0"/>
    <w:rPr>
      <w:rFonts w:eastAsia="Malgun Gothic" w:cs="Batang"/>
      <w:lang w:val="en-GB" w:eastAsia="en-US"/>
    </w:rPr>
  </w:style>
  <w:style w:type="paragraph" w:customStyle="1" w:styleId="141">
    <w:name w:val="CR Cover Page"/>
    <w:qFormat/>
    <w:uiPriority w:val="0"/>
    <w:pPr>
      <w:spacing w:after="120"/>
    </w:pPr>
    <w:rPr>
      <w:rFonts w:ascii="Arial" w:hAnsi="Arial" w:eastAsia="宋体" w:cs="Times New Roman"/>
      <w:lang w:val="en-GB" w:eastAsia="en-US" w:bidi="ar-SA"/>
    </w:rPr>
  </w:style>
  <w:style w:type="paragraph" w:customStyle="1" w:styleId="1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3">
    <w:name w:val="Table_head"/>
    <w:basedOn w:val="142"/>
    <w:next w:val="142"/>
    <w:qFormat/>
    <w:uiPriority w:val="0"/>
    <w:pPr>
      <w:keepNext/>
      <w:spacing w:before="80" w:after="80"/>
      <w:jc w:val="center"/>
    </w:pPr>
    <w:rPr>
      <w:b/>
    </w:rPr>
  </w:style>
  <w:style w:type="character" w:customStyle="1" w:styleId="144">
    <w:name w:val="TAN Char"/>
    <w:link w:val="81"/>
    <w:qFormat/>
    <w:uiPriority w:val="0"/>
    <w:rPr>
      <w:rFonts w:ascii="Arial" w:hAnsi="Arial" w:eastAsia="Times New Roman"/>
      <w:sz w:val="18"/>
      <w:lang w:val="en-GB" w:eastAsia="en-GB"/>
    </w:rPr>
  </w:style>
  <w:style w:type="character" w:customStyle="1" w:styleId="145">
    <w:name w:val="页脚 字符"/>
    <w:link w:val="39"/>
    <w:qFormat/>
    <w:uiPriority w:val="0"/>
    <w:rPr>
      <w:rFonts w:ascii="Arial" w:hAnsi="Arial" w:eastAsia="Times New Roman"/>
      <w:b/>
      <w:i/>
      <w:sz w:val="18"/>
      <w:lang w:val="en-GB" w:eastAsia="en-GB"/>
    </w:rPr>
  </w:style>
  <w:style w:type="character" w:customStyle="1" w:styleId="146">
    <w:name w:val="TH Char"/>
    <w:link w:val="71"/>
    <w:qFormat/>
    <w:locked/>
    <w:uiPriority w:val="0"/>
    <w:rPr>
      <w:rFonts w:ascii="Arial" w:hAnsi="Arial" w:eastAsia="Times New Roman"/>
      <w:b/>
      <w:lang w:val="en-GB" w:eastAsia="en-GB"/>
    </w:rPr>
  </w:style>
  <w:style w:type="character" w:customStyle="1" w:styleId="147">
    <w:name w:val="TAL Car"/>
    <w:link w:val="69"/>
    <w:qFormat/>
    <w:locked/>
    <w:uiPriority w:val="0"/>
    <w:rPr>
      <w:rFonts w:ascii="Arial" w:hAnsi="Arial" w:eastAsia="Times New Roman"/>
      <w:sz w:val="18"/>
      <w:lang w:val="en-GB" w:eastAsia="en-GB"/>
    </w:rPr>
  </w:style>
  <w:style w:type="paragraph" w:customStyle="1" w:styleId="148">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9">
    <w:name w:val="标题 7 字符"/>
    <w:link w:val="9"/>
    <w:qFormat/>
    <w:uiPriority w:val="0"/>
    <w:rPr>
      <w:rFonts w:ascii="Arial" w:hAnsi="Arial" w:eastAsia="Times New Roman"/>
      <w:lang w:val="en-GB" w:eastAsia="en-GB"/>
    </w:rPr>
  </w:style>
  <w:style w:type="character" w:customStyle="1" w:styleId="150">
    <w:name w:val="标题 6 字符"/>
    <w:basedOn w:val="55"/>
    <w:link w:val="7"/>
    <w:qFormat/>
    <w:uiPriority w:val="0"/>
    <w:rPr>
      <w:rFonts w:ascii="Arial" w:hAnsi="Arial" w:eastAsia="Times New Roman"/>
      <w:lang w:val="en-GB" w:eastAsia="en-GB"/>
    </w:rPr>
  </w:style>
  <w:style w:type="character" w:customStyle="1" w:styleId="151">
    <w:name w:val="NO Char"/>
    <w:link w:val="72"/>
    <w:qFormat/>
    <w:locked/>
    <w:uiPriority w:val="99"/>
    <w:rPr>
      <w:rFonts w:eastAsia="Times New Roman"/>
      <w:lang w:val="en-GB" w:eastAsia="en-GB"/>
    </w:rPr>
  </w:style>
  <w:style w:type="character" w:customStyle="1" w:styleId="152">
    <w:name w:val="apple-converted-space"/>
    <w:basedOn w:val="55"/>
    <w:qFormat/>
    <w:uiPriority w:val="0"/>
  </w:style>
  <w:style w:type="paragraph" w:customStyle="1" w:styleId="153">
    <w:name w:val="tac"/>
    <w:basedOn w:val="1"/>
    <w:qFormat/>
    <w:uiPriority w:val="0"/>
    <w:pPr>
      <w:keepNext/>
      <w:overflowPunct/>
      <w:adjustRightInd/>
      <w:spacing w:after="0"/>
      <w:jc w:val="center"/>
      <w:textAlignment w:val="auto"/>
    </w:pPr>
    <w:rPr>
      <w:rFonts w:ascii="Arial" w:hAnsi="Arial" w:eastAsia="宋体" w:cs="Arial"/>
      <w:sz w:val="18"/>
      <w:szCs w:val="18"/>
      <w:lang w:val="en-US" w:eastAsia="zh-CN"/>
    </w:rPr>
  </w:style>
  <w:style w:type="character" w:customStyle="1" w:styleId="154">
    <w:name w:val="msoins"/>
    <w:basedOn w:val="55"/>
    <w:qFormat/>
    <w:uiPriority w:val="0"/>
  </w:style>
  <w:style w:type="character" w:customStyle="1" w:styleId="155">
    <w:name w:val="列出段落 字符2"/>
    <w:qFormat/>
    <w:locked/>
    <w:uiPriority w:val="34"/>
    <w:rPr>
      <w:rFonts w:ascii="Times New Roman" w:hAnsi="Times New Roman" w:eastAsia="宋体" w:cs="Times New Roman"/>
      <w:kern w:val="0"/>
      <w:sz w:val="22"/>
      <w:lang w:eastAsia="en-US"/>
    </w:rPr>
  </w:style>
  <w:style w:type="character" w:customStyle="1" w:styleId="156">
    <w:name w:val="副标题 字符"/>
    <w:basedOn w:val="55"/>
    <w:link w:val="41"/>
    <w:qFormat/>
    <w:uiPriority w:val="0"/>
    <w:rPr>
      <w:rFonts w:ascii="Cambria" w:hAnsi="Cambria" w:eastAsia="Times New Roman"/>
      <w:sz w:val="24"/>
      <w:szCs w:val="24"/>
      <w:lang w:val="en-GB" w:eastAsia="en-IN"/>
    </w:rPr>
  </w:style>
  <w:style w:type="character" w:customStyle="1" w:styleId="157">
    <w:name w:val="正文文本 2 字符"/>
    <w:basedOn w:val="55"/>
    <w:link w:val="47"/>
    <w:qFormat/>
    <w:uiPriority w:val="0"/>
    <w:rPr>
      <w:rFonts w:ascii="Arial" w:hAnsi="Arial" w:eastAsia="Times New Roman"/>
      <w:sz w:val="22"/>
      <w:lang w:val="en-GB" w:eastAsia="en-IN"/>
    </w:rPr>
  </w:style>
  <w:style w:type="character" w:customStyle="1" w:styleId="158">
    <w:name w:val="标题 5 字符"/>
    <w:link w:val="6"/>
    <w:qFormat/>
    <w:uiPriority w:val="0"/>
    <w:rPr>
      <w:rFonts w:ascii="Arial" w:hAnsi="Arial" w:eastAsia="Times New Roman"/>
      <w:sz w:val="22"/>
      <w:lang w:val="en-GB" w:eastAsia="en-GB"/>
    </w:rPr>
  </w:style>
  <w:style w:type="character" w:customStyle="1" w:styleId="159">
    <w:name w:val="MTEquationSection"/>
    <w:qFormat/>
    <w:uiPriority w:val="0"/>
    <w:rPr>
      <w:rFonts w:ascii="Arial" w:hAnsi="Arial"/>
      <w:color w:val="FF0000"/>
      <w:sz w:val="24"/>
    </w:rPr>
  </w:style>
  <w:style w:type="paragraph" w:customStyle="1" w:styleId="160">
    <w:name w:val="Bulleted o 1"/>
    <w:basedOn w:val="1"/>
    <w:qFormat/>
    <w:uiPriority w:val="0"/>
    <w:pPr>
      <w:numPr>
        <w:ilvl w:val="0"/>
        <w:numId w:val="4"/>
      </w:numPr>
      <w:snapToGrid w:val="0"/>
      <w:spacing w:after="120" w:line="276" w:lineRule="auto"/>
      <w:jc w:val="both"/>
    </w:pPr>
    <w:rPr>
      <w:lang w:eastAsia="en-IN"/>
    </w:rPr>
  </w:style>
  <w:style w:type="paragraph" w:customStyle="1" w:styleId="161">
    <w:name w:val="Equation"/>
    <w:basedOn w:val="1"/>
    <w:next w:val="1"/>
    <w:qFormat/>
    <w:uiPriority w:val="0"/>
    <w:pPr>
      <w:tabs>
        <w:tab w:val="right" w:pos="10206"/>
      </w:tabs>
      <w:snapToGrid w:val="0"/>
      <w:spacing w:after="220" w:line="276" w:lineRule="auto"/>
      <w:ind w:left="1298"/>
      <w:jc w:val="both"/>
    </w:pPr>
    <w:rPr>
      <w:rFonts w:ascii="Arial" w:hAnsi="Arial"/>
      <w:sz w:val="22"/>
      <w:lang w:eastAsia="zh-CN"/>
    </w:rPr>
  </w:style>
  <w:style w:type="paragraph" w:customStyle="1" w:styleId="162">
    <w:name w:val="00 BodyText"/>
    <w:basedOn w:val="1"/>
    <w:qFormat/>
    <w:uiPriority w:val="0"/>
    <w:pPr>
      <w:snapToGrid w:val="0"/>
      <w:spacing w:after="220" w:line="276" w:lineRule="auto"/>
      <w:jc w:val="both"/>
    </w:pPr>
    <w:rPr>
      <w:rFonts w:ascii="Arial" w:hAnsi="Arial"/>
      <w:sz w:val="22"/>
      <w:lang w:eastAsia="en-IN"/>
    </w:rPr>
  </w:style>
  <w:style w:type="paragraph" w:customStyle="1" w:styleId="163">
    <w:name w:val="11 BodyText"/>
    <w:basedOn w:val="1"/>
    <w:qFormat/>
    <w:uiPriority w:val="0"/>
    <w:pPr>
      <w:snapToGrid w:val="0"/>
      <w:spacing w:after="220" w:line="276" w:lineRule="auto"/>
      <w:ind w:left="1298"/>
      <w:jc w:val="both"/>
    </w:pPr>
    <w:rPr>
      <w:rFonts w:ascii="Arial" w:hAnsi="Arial"/>
      <w:sz w:val="22"/>
      <w:lang w:eastAsia="en-IN"/>
    </w:rPr>
  </w:style>
  <w:style w:type="paragraph" w:customStyle="1" w:styleId="164">
    <w:name w:val="table"/>
    <w:basedOn w:val="109"/>
    <w:next w:val="109"/>
    <w:qFormat/>
    <w:uiPriority w:val="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165">
    <w:name w:val="body Char Char Char"/>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6">
    <w:name w:val="Heading 1 Char"/>
    <w:qFormat/>
    <w:uiPriority w:val="0"/>
    <w:rPr>
      <w:rFonts w:ascii="Arial" w:hAnsi="Arial"/>
      <w:sz w:val="36"/>
      <w:lang w:val="en-GB" w:eastAsia="en-US" w:bidi="ar-SA"/>
    </w:rPr>
  </w:style>
  <w:style w:type="paragraph" w:customStyle="1" w:styleId="167">
    <w:name w:val="body"/>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8">
    <w:name w:val="标题 1 字符"/>
    <w:qFormat/>
    <w:uiPriority w:val="0"/>
    <w:rPr>
      <w:rFonts w:ascii="Arial" w:hAnsi="Arial" w:eastAsia="Times New Roman"/>
      <w:sz w:val="36"/>
      <w:lang w:val="en-GB" w:eastAsia="en-IN"/>
    </w:rPr>
  </w:style>
  <w:style w:type="character" w:customStyle="1" w:styleId="169">
    <w:name w:val="标题 2 字符"/>
    <w:qFormat/>
    <w:uiPriority w:val="0"/>
    <w:rPr>
      <w:rFonts w:ascii="Arial" w:hAnsi="Arial" w:eastAsia="Times New Roman"/>
      <w:sz w:val="32"/>
      <w:lang w:val="en-GB" w:eastAsia="en-IN"/>
    </w:rPr>
  </w:style>
  <w:style w:type="character" w:customStyle="1" w:styleId="170">
    <w:name w:val="标题 3 字符"/>
    <w:qFormat/>
    <w:uiPriority w:val="0"/>
    <w:rPr>
      <w:rFonts w:ascii="Times New Roman" w:hAnsi="Times New Roman" w:eastAsia="Times New Roman"/>
      <w:b/>
      <w:sz w:val="21"/>
      <w:lang w:val="en-GB" w:eastAsia="en-IN"/>
    </w:rPr>
  </w:style>
  <w:style w:type="character" w:customStyle="1" w:styleId="171">
    <w:name w:val="标题 4 字符"/>
    <w:qFormat/>
    <w:uiPriority w:val="0"/>
    <w:rPr>
      <w:rFonts w:ascii="Times New Roman" w:hAnsi="Times New Roman" w:eastAsia="Times New Roman"/>
      <w:b/>
      <w:sz w:val="24"/>
      <w:lang w:val="en-GB" w:eastAsia="en-IN"/>
    </w:rPr>
  </w:style>
  <w:style w:type="character" w:customStyle="1" w:styleId="172">
    <w:name w:val="Char Char3"/>
    <w:qFormat/>
    <w:uiPriority w:val="0"/>
    <w:rPr>
      <w:rFonts w:ascii="Arial" w:hAnsi="Arial"/>
      <w:sz w:val="36"/>
      <w:lang w:val="en-GB" w:eastAsia="en-US" w:bidi="ar-SA"/>
    </w:rPr>
  </w:style>
  <w:style w:type="character" w:customStyle="1" w:styleId="173">
    <w:name w:val="Char Char2"/>
    <w:qFormat/>
    <w:uiPriority w:val="0"/>
    <w:rPr>
      <w:rFonts w:ascii="Arial" w:hAnsi="Arial"/>
      <w:sz w:val="32"/>
      <w:lang w:val="en-GB" w:eastAsia="en-US" w:bidi="ar-SA"/>
    </w:rPr>
  </w:style>
  <w:style w:type="character" w:customStyle="1" w:styleId="174">
    <w:name w:val="Char Char1"/>
    <w:qFormat/>
    <w:uiPriority w:val="0"/>
    <w:rPr>
      <w:rFonts w:ascii="Arial" w:hAnsi="Arial"/>
      <w:sz w:val="28"/>
      <w:lang w:val="en-GB" w:eastAsia="en-US" w:bidi="ar-SA"/>
    </w:rPr>
  </w:style>
  <w:style w:type="character" w:customStyle="1" w:styleId="175">
    <w:name w:val="h4 Char Char"/>
    <w:qFormat/>
    <w:uiPriority w:val="0"/>
    <w:rPr>
      <w:rFonts w:ascii="Arial" w:hAnsi="Arial"/>
      <w:sz w:val="24"/>
      <w:lang w:val="en-GB" w:eastAsia="en-US" w:bidi="ar-SA"/>
    </w:rPr>
  </w:style>
  <w:style w:type="character" w:customStyle="1" w:styleId="176">
    <w:name w:val="Char Char"/>
    <w:qFormat/>
    <w:uiPriority w:val="0"/>
    <w:rPr>
      <w:rFonts w:ascii="Arial" w:hAnsi="Arial"/>
      <w:sz w:val="22"/>
      <w:lang w:val="en-GB" w:eastAsia="en-US" w:bidi="ar-SA"/>
    </w:rPr>
  </w:style>
  <w:style w:type="paragraph" w:customStyle="1" w:styleId="177">
    <w:name w:val="修订11"/>
    <w:hidden/>
    <w:semiHidden/>
    <w:qFormat/>
    <w:uiPriority w:val="99"/>
    <w:pPr>
      <w:spacing w:after="160" w:line="259" w:lineRule="auto"/>
      <w:jc w:val="both"/>
    </w:pPr>
    <w:rPr>
      <w:rFonts w:ascii="Times New Roman" w:hAnsi="Times New Roman" w:eastAsia="宋体" w:cs="Times New Roman"/>
      <w:lang w:val="en-GB" w:eastAsia="en-US" w:bidi="ar-SA"/>
    </w:rPr>
  </w:style>
  <w:style w:type="paragraph" w:customStyle="1" w:styleId="17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character" w:styleId="179">
    <w:name w:val="Placeholder Text"/>
    <w:semiHidden/>
    <w:qFormat/>
    <w:uiPriority w:val="99"/>
    <w:rPr>
      <w:color w:val="808080"/>
    </w:rPr>
  </w:style>
  <w:style w:type="paragraph" w:customStyle="1" w:styleId="180">
    <w:name w:val="References"/>
    <w:basedOn w:val="1"/>
    <w:qFormat/>
    <w:uiPriority w:val="0"/>
    <w:pPr>
      <w:numPr>
        <w:ilvl w:val="0"/>
        <w:numId w:val="5"/>
      </w:numPr>
      <w:tabs>
        <w:tab w:val="left" w:pos="360"/>
      </w:tabs>
      <w:overflowPunct/>
      <w:adjustRightInd/>
      <w:snapToGrid w:val="0"/>
      <w:spacing w:after="60" w:line="276" w:lineRule="auto"/>
      <w:jc w:val="both"/>
      <w:textAlignment w:val="auto"/>
    </w:pPr>
    <w:rPr>
      <w:szCs w:val="16"/>
      <w:lang w:eastAsia="en-IN"/>
    </w:rPr>
  </w:style>
  <w:style w:type="table" w:customStyle="1" w:styleId="181">
    <w:name w:val="网格表 4 - 着色 11"/>
    <w:basedOn w:val="53"/>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82">
    <w:name w:val="题注 字符"/>
    <w:link w:val="28"/>
    <w:qFormat/>
    <w:uiPriority w:val="0"/>
    <w:rPr>
      <w:rFonts w:eastAsia="MS Gothic"/>
      <w:b/>
      <w:sz w:val="24"/>
      <w:lang w:val="en-GB"/>
    </w:rPr>
  </w:style>
  <w:style w:type="paragraph" w:customStyle="1" w:styleId="183">
    <w:name w:val="Proposal"/>
    <w:basedOn w:val="1"/>
    <w:link w:val="184"/>
    <w:qFormat/>
    <w:uiPriority w:val="0"/>
    <w:pPr>
      <w:numPr>
        <w:ilvl w:val="0"/>
        <w:numId w:val="6"/>
      </w:numPr>
      <w:tabs>
        <w:tab w:val="left" w:pos="1152"/>
      </w:tabs>
      <w:snapToGrid w:val="0"/>
      <w:spacing w:before="240" w:after="240" w:line="276" w:lineRule="auto"/>
      <w:jc w:val="both"/>
    </w:pPr>
    <w:rPr>
      <w:rFonts w:eastAsia="MS Mincho"/>
      <w:i/>
      <w:lang w:eastAsia="ja-JP"/>
    </w:rPr>
  </w:style>
  <w:style w:type="character" w:customStyle="1" w:styleId="184">
    <w:name w:val="Proposal Char"/>
    <w:basedOn w:val="55"/>
    <w:link w:val="183"/>
    <w:qFormat/>
    <w:uiPriority w:val="0"/>
    <w:rPr>
      <w:rFonts w:eastAsia="MS Mincho"/>
      <w:i/>
      <w:lang w:val="en-GB"/>
    </w:rPr>
  </w:style>
  <w:style w:type="character" w:customStyle="1" w:styleId="185">
    <w:name w:val="B2 Char"/>
    <w:basedOn w:val="55"/>
    <w:link w:val="91"/>
    <w:qFormat/>
    <w:locked/>
    <w:uiPriority w:val="0"/>
    <w:rPr>
      <w:rFonts w:eastAsia="Times New Roman"/>
      <w:lang w:val="en-GB" w:eastAsia="en-GB"/>
    </w:rPr>
  </w:style>
  <w:style w:type="character" w:customStyle="1" w:styleId="186">
    <w:name w:val="明显强调1"/>
    <w:basedOn w:val="55"/>
    <w:qFormat/>
    <w:uiPriority w:val="21"/>
    <w:rPr>
      <w:i/>
      <w:iCs/>
      <w:color w:val="5B9BD5" w:themeColor="accent1"/>
      <w14:textFill>
        <w14:solidFill>
          <w14:schemeClr w14:val="accent1"/>
        </w14:solidFill>
      </w14:textFill>
    </w:rPr>
  </w:style>
  <w:style w:type="character" w:customStyle="1" w:styleId="187">
    <w:name w:val="不明显强调1"/>
    <w:basedOn w:val="55"/>
    <w:qFormat/>
    <w:uiPriority w:val="19"/>
    <w:rPr>
      <w:i/>
      <w:iCs/>
      <w:color w:val="404040" w:themeColor="text1" w:themeTint="BF"/>
      <w14:textFill>
        <w14:solidFill>
          <w14:schemeClr w14:val="tx1">
            <w14:lumMod w14:val="75000"/>
            <w14:lumOff w14:val="25000"/>
          </w14:schemeClr>
        </w14:solidFill>
      </w14:textFill>
    </w:rPr>
  </w:style>
  <w:style w:type="paragraph" w:customStyle="1" w:styleId="188">
    <w:name w:val="Figure"/>
    <w:basedOn w:val="1"/>
    <w:link w:val="190"/>
    <w:qFormat/>
    <w:uiPriority w:val="0"/>
    <w:pPr>
      <w:numPr>
        <w:ilvl w:val="0"/>
        <w:numId w:val="7"/>
      </w:numPr>
      <w:snapToGrid w:val="0"/>
      <w:spacing w:after="120" w:line="276" w:lineRule="auto"/>
      <w:jc w:val="center"/>
    </w:pPr>
    <w:rPr>
      <w:lang w:eastAsia="en-IN"/>
    </w:rPr>
  </w:style>
  <w:style w:type="paragraph" w:customStyle="1" w:styleId="189">
    <w:name w:val="Table"/>
    <w:basedOn w:val="188"/>
    <w:link w:val="192"/>
    <w:qFormat/>
    <w:uiPriority w:val="0"/>
    <w:pPr>
      <w:numPr>
        <w:numId w:val="8"/>
      </w:numPr>
    </w:pPr>
  </w:style>
  <w:style w:type="character" w:customStyle="1" w:styleId="190">
    <w:name w:val="Figure Char"/>
    <w:basedOn w:val="55"/>
    <w:link w:val="188"/>
    <w:qFormat/>
    <w:uiPriority w:val="0"/>
    <w:rPr>
      <w:rFonts w:eastAsia="Times New Roman"/>
      <w:lang w:val="en-GB" w:eastAsia="en-IN"/>
    </w:rPr>
  </w:style>
  <w:style w:type="paragraph" w:customStyle="1" w:styleId="191">
    <w:name w:val="Observation"/>
    <w:basedOn w:val="183"/>
    <w:link w:val="193"/>
    <w:qFormat/>
    <w:uiPriority w:val="0"/>
    <w:pPr>
      <w:numPr>
        <w:ilvl w:val="0"/>
        <w:numId w:val="9"/>
      </w:numPr>
      <w:ind w:left="0" w:firstLine="0"/>
    </w:pPr>
  </w:style>
  <w:style w:type="character" w:customStyle="1" w:styleId="192">
    <w:name w:val="Table Char"/>
    <w:basedOn w:val="190"/>
    <w:link w:val="189"/>
    <w:qFormat/>
    <w:uiPriority w:val="0"/>
    <w:rPr>
      <w:rFonts w:eastAsia="Times New Roman"/>
      <w:lang w:val="en-GB" w:eastAsia="en-IN"/>
    </w:rPr>
  </w:style>
  <w:style w:type="character" w:customStyle="1" w:styleId="193">
    <w:name w:val="Observation Char"/>
    <w:basedOn w:val="184"/>
    <w:link w:val="191"/>
    <w:qFormat/>
    <w:uiPriority w:val="0"/>
    <w:rPr>
      <w:rFonts w:eastAsia="MS Mincho"/>
      <w:lang w:val="en-GB"/>
    </w:rPr>
  </w:style>
  <w:style w:type="table" w:customStyle="1" w:styleId="194">
    <w:name w:val="Table Grid1"/>
    <w:basedOn w:val="53"/>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95">
    <w:name w:val="Table Normal1"/>
    <w:basedOn w:val="53"/>
    <w:semiHidden/>
    <w:qFormat/>
    <w:uiPriority w:val="0"/>
    <w:rPr>
      <w:rFonts w:eastAsia="CG Times (WN)"/>
    </w:rPr>
  </w:style>
  <w:style w:type="character" w:customStyle="1" w:styleId="196">
    <w:name w:val="Subtle Emphasis1"/>
    <w:basedOn w:val="55"/>
    <w:qFormat/>
    <w:uiPriority w:val="19"/>
    <w:rPr>
      <w:i/>
      <w:iCs/>
      <w:color w:val="404040" w:themeColor="text1" w:themeTint="BF"/>
      <w14:textFill>
        <w14:solidFill>
          <w14:schemeClr w14:val="tx1">
            <w14:lumMod w14:val="75000"/>
            <w14:lumOff w14:val="25000"/>
          </w14:schemeClr>
        </w14:solidFill>
      </w14:textFill>
    </w:rPr>
  </w:style>
  <w:style w:type="character" w:customStyle="1" w:styleId="197">
    <w:name w:val="Intense Emphasis1"/>
    <w:basedOn w:val="55"/>
    <w:qFormat/>
    <w:uiPriority w:val="21"/>
    <w:rPr>
      <w:i/>
      <w:iCs/>
      <w:color w:val="5B9BD5" w:themeColor="accent1"/>
      <w14:textFill>
        <w14:solidFill>
          <w14:schemeClr w14:val="accent1"/>
        </w14:solidFill>
      </w14:textFill>
    </w:rPr>
  </w:style>
  <w:style w:type="character" w:customStyle="1" w:styleId="198">
    <w:name w:val="Subtle Reference1"/>
    <w:basedOn w:val="55"/>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99">
    <w:name w:val="Book Title1"/>
    <w:basedOn w:val="55"/>
    <w:qFormat/>
    <w:uiPriority w:val="33"/>
    <w:rPr>
      <w:b/>
      <w:bCs/>
      <w:i/>
      <w:iCs/>
      <w:spacing w:val="5"/>
    </w:rPr>
  </w:style>
  <w:style w:type="paragraph" w:customStyle="1" w:styleId="200">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201">
    <w:name w:val="IvD Instructiontext"/>
    <w:basedOn w:val="32"/>
    <w:link w:val="202"/>
    <w:qFormat/>
    <w:uiPriority w:val="99"/>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i/>
      <w:color w:val="808080" w:themeColor="text1" w:themeTint="80"/>
      <w:spacing w:val="2"/>
      <w:sz w:val="18"/>
      <w:szCs w:val="18"/>
      <w:lang w:eastAsia="en-IN"/>
      <w14:textFill>
        <w14:solidFill>
          <w14:schemeClr w14:val="tx1">
            <w14:lumMod w14:val="50000"/>
            <w14:lumOff w14:val="50000"/>
          </w14:schemeClr>
        </w14:solidFill>
      </w14:textFill>
    </w:rPr>
  </w:style>
  <w:style w:type="character" w:customStyle="1" w:styleId="202">
    <w:name w:val="IvD Instructiontext Char"/>
    <w:link w:val="201"/>
    <w:qFormat/>
    <w:uiPriority w:val="99"/>
    <w:rPr>
      <w:rFonts w:ascii="Arial" w:hAnsi="Arial" w:eastAsia="Times New Roman"/>
      <w:i/>
      <w:color w:val="808080" w:themeColor="text1" w:themeTint="80"/>
      <w:spacing w:val="2"/>
      <w:sz w:val="18"/>
      <w:szCs w:val="18"/>
      <w:lang w:val="en-GB" w:eastAsia="en-IN"/>
      <w14:textFill>
        <w14:solidFill>
          <w14:schemeClr w14:val="tx1">
            <w14:lumMod w14:val="50000"/>
            <w14:lumOff w14:val="50000"/>
          </w14:schemeClr>
        </w14:solidFill>
      </w14:textFill>
    </w:rPr>
  </w:style>
  <w:style w:type="paragraph" w:customStyle="1" w:styleId="203">
    <w:name w:val="IvD bodytext"/>
    <w:basedOn w:val="32"/>
    <w:link w:val="204"/>
    <w:qFormat/>
    <w:uiPriority w:val="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spacing w:val="2"/>
      <w:sz w:val="20"/>
      <w:lang w:eastAsia="en-IN"/>
    </w:rPr>
  </w:style>
  <w:style w:type="character" w:customStyle="1" w:styleId="204">
    <w:name w:val="IvD bodytext Char"/>
    <w:basedOn w:val="55"/>
    <w:link w:val="203"/>
    <w:qFormat/>
    <w:uiPriority w:val="0"/>
    <w:rPr>
      <w:rFonts w:ascii="Arial" w:hAnsi="Arial" w:eastAsia="Times New Roman"/>
      <w:spacing w:val="2"/>
      <w:lang w:val="en-GB" w:eastAsia="en-IN"/>
    </w:rPr>
  </w:style>
  <w:style w:type="table" w:customStyle="1" w:styleId="205">
    <w:name w:val="Grid Table 5 Dark - Accent 11"/>
    <w:basedOn w:val="53"/>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206">
    <w:name w:val="paragraph"/>
    <w:basedOn w:val="1"/>
    <w:qFormat/>
    <w:uiPriority w:val="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207">
    <w:name w:val="normaltextrun"/>
    <w:basedOn w:val="55"/>
    <w:qFormat/>
    <w:uiPriority w:val="0"/>
  </w:style>
  <w:style w:type="character" w:customStyle="1" w:styleId="208">
    <w:name w:val="eop"/>
    <w:basedOn w:val="55"/>
    <w:qFormat/>
    <w:uiPriority w:val="0"/>
  </w:style>
  <w:style w:type="table" w:customStyle="1" w:styleId="209">
    <w:name w:val="网格型1"/>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3GPP Agreements"/>
    <w:basedOn w:val="1"/>
    <w:qFormat/>
    <w:uiPriority w:val="0"/>
    <w:pPr>
      <w:numPr>
        <w:ilvl w:val="0"/>
        <w:numId w:val="10"/>
      </w:numPr>
      <w:snapToGrid w:val="0"/>
      <w:spacing w:before="60" w:after="60" w:line="276" w:lineRule="auto"/>
      <w:jc w:val="both"/>
    </w:pPr>
    <w:rPr>
      <w:rFonts w:eastAsia="宋体"/>
      <w:sz w:val="22"/>
      <w:lang w:val="en-US" w:eastAsia="zh-CN"/>
    </w:rPr>
  </w:style>
  <w:style w:type="paragraph" w:customStyle="1" w:styleId="211">
    <w:name w:val="3GPP Text"/>
    <w:basedOn w:val="1"/>
    <w:qFormat/>
    <w:uiPriority w:val="0"/>
    <w:pPr>
      <w:snapToGrid w:val="0"/>
      <w:spacing w:before="120" w:after="120" w:line="276" w:lineRule="auto"/>
      <w:jc w:val="both"/>
    </w:pPr>
    <w:rPr>
      <w:rFonts w:eastAsia="宋体"/>
      <w:sz w:val="22"/>
      <w:lang w:eastAsia="en-US"/>
    </w:rPr>
  </w:style>
  <w:style w:type="paragraph" w:customStyle="1" w:styleId="212">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213">
    <w:name w:val="msolistparagraph"/>
    <w:basedOn w:val="1"/>
    <w:qFormat/>
    <w:uiPriority w:val="0"/>
    <w:pPr>
      <w:numPr>
        <w:ilvl w:val="0"/>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214">
    <w:name w:val="标题 4 字符1"/>
    <w:basedOn w:val="55"/>
    <w:link w:val="5"/>
    <w:qFormat/>
    <w:uiPriority w:val="0"/>
    <w:rPr>
      <w:rFonts w:ascii="Arial" w:hAnsi="Arial" w:eastAsia="Times New Roman"/>
      <w:sz w:val="24"/>
      <w:lang w:val="en-GB" w:eastAsia="en-GB"/>
    </w:rPr>
  </w:style>
  <w:style w:type="character" w:customStyle="1" w:styleId="215">
    <w:name w:val="列出段落 Char"/>
    <w:basedOn w:val="55"/>
    <w:qFormat/>
    <w:uiPriority w:val="0"/>
    <w:rPr>
      <w:rFonts w:hint="default" w:ascii="Calibri" w:hAnsi="Calibri" w:eastAsia="Calibri" w:cs="Calibri"/>
      <w:szCs w:val="22"/>
      <w:lang w:val="en-US" w:eastAsia="en-US"/>
    </w:rPr>
  </w:style>
  <w:style w:type="character" w:customStyle="1" w:styleId="216">
    <w:name w:val="标题 3 字符1"/>
    <w:basedOn w:val="55"/>
    <w:link w:val="4"/>
    <w:qFormat/>
    <w:uiPriority w:val="0"/>
    <w:rPr>
      <w:rFonts w:ascii="Arial" w:hAnsi="Arial" w:eastAsia="Times New Roman"/>
      <w:sz w:val="28"/>
      <w:lang w:val="en-GB" w:eastAsia="en-GB"/>
    </w:rPr>
  </w:style>
  <w:style w:type="character" w:customStyle="1" w:styleId="217">
    <w:name w:val="标题 1 字符1"/>
    <w:basedOn w:val="55"/>
    <w:link w:val="2"/>
    <w:qFormat/>
    <w:uiPriority w:val="0"/>
    <w:rPr>
      <w:rFonts w:ascii="Arial" w:hAnsi="Arial" w:eastAsia="Times New Roman"/>
      <w:sz w:val="36"/>
      <w:lang w:val="en-GB" w:eastAsia="en-GB"/>
    </w:rPr>
  </w:style>
  <w:style w:type="character" w:customStyle="1" w:styleId="218">
    <w:name w:val="标题 2 字符1"/>
    <w:basedOn w:val="55"/>
    <w:link w:val="3"/>
    <w:qFormat/>
    <w:uiPriority w:val="0"/>
    <w:rPr>
      <w:rFonts w:ascii="Arial" w:hAnsi="Arial" w:eastAsia="Times New Roman"/>
      <w:sz w:val="32"/>
      <w:lang w:val="en-GB" w:eastAsia="en-GB"/>
    </w:rPr>
  </w:style>
  <w:style w:type="paragraph" w:customStyle="1" w:styleId="219">
    <w:name w:val="Style1"/>
    <w:basedOn w:val="1"/>
    <w:qFormat/>
    <w:uiPriority w:val="0"/>
    <w:pPr>
      <w:spacing w:after="120" w:line="300" w:lineRule="auto"/>
      <w:ind w:firstLine="360"/>
      <w:contextualSpacing/>
      <w:jc w:val="both"/>
    </w:pPr>
    <w:rPr>
      <w:rFonts w:eastAsia="宋体"/>
      <w:lang w:val="en-US" w:eastAsia="zh-CN"/>
    </w:rPr>
  </w:style>
  <w:style w:type="table" w:customStyle="1" w:styleId="220">
    <w:name w:val="표 구분선2"/>
    <w:basedOn w:val="53"/>
    <w:qFormat/>
    <w:uiPriority w:val="59"/>
    <w:pPr>
      <w:spacing w:before="120" w:line="280" w:lineRule="atLeast"/>
    </w:pPr>
    <w:rPr>
      <w:rFonts w:ascii="New York" w:hAnsi="New York"/>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Comments"/>
    <w:basedOn w:val="1"/>
    <w:qFormat/>
    <w:uiPriority w:val="0"/>
    <w:pPr>
      <w:snapToGrid w:val="0"/>
      <w:spacing w:before="40" w:after="120" w:line="276" w:lineRule="auto"/>
      <w:jc w:val="both"/>
    </w:pPr>
    <w:rPr>
      <w:rFonts w:ascii="Arial" w:hAnsi="Arial" w:eastAsia="MS Mincho"/>
      <w:i/>
      <w:sz w:val="18"/>
    </w:rPr>
  </w:style>
  <w:style w:type="paragraph" w:customStyle="1" w:styleId="222">
    <w:name w:val="3GPP Normal Text"/>
    <w:basedOn w:val="32"/>
    <w:qFormat/>
    <w:uiPriority w:val="0"/>
    <w:pPr>
      <w:tabs>
        <w:tab w:val="left" w:pos="1440"/>
      </w:tabs>
      <w:snapToGrid w:val="0"/>
      <w:spacing w:line="276" w:lineRule="auto"/>
      <w:ind w:left="1440" w:hanging="1440"/>
      <w:jc w:val="both"/>
    </w:pPr>
    <w:rPr>
      <w:rFonts w:eastAsia="MS Mincho"/>
      <w:sz w:val="22"/>
      <w:szCs w:val="24"/>
      <w:lang w:val="en-US" w:eastAsia="zh-CN"/>
    </w:rPr>
  </w:style>
  <w:style w:type="paragraph" w:customStyle="1" w:styleId="223">
    <w:name w:val="Revision2"/>
    <w:hidden/>
    <w:unhideWhenUsed/>
    <w:qFormat/>
    <w:uiPriority w:val="99"/>
    <w:pPr>
      <w:spacing w:after="160" w:line="259" w:lineRule="auto"/>
      <w:jc w:val="both"/>
    </w:pPr>
    <w:rPr>
      <w:rFonts w:ascii="Times New Roman" w:hAnsi="Times New Roman" w:eastAsia="Times New Roman" w:cs="Times New Roman"/>
      <w:lang w:val="en-GB" w:eastAsia="en-IN" w:bidi="ar-SA"/>
    </w:rPr>
  </w:style>
  <w:style w:type="character" w:customStyle="1" w:styleId="224">
    <w:name w:val="B1 Zchn"/>
    <w:qFormat/>
    <w:locked/>
    <w:uiPriority w:val="0"/>
    <w:rPr>
      <w:lang w:eastAsia="en-US"/>
    </w:rPr>
  </w:style>
  <w:style w:type="character" w:customStyle="1" w:styleId="225">
    <w:name w:val="未处理的提及1"/>
    <w:basedOn w:val="55"/>
    <w:semiHidden/>
    <w:unhideWhenUsed/>
    <w:qFormat/>
    <w:uiPriority w:val="99"/>
    <w:rPr>
      <w:color w:val="605E5C"/>
      <w:shd w:val="clear" w:color="auto" w:fill="E1DFDD"/>
    </w:rPr>
  </w:style>
  <w:style w:type="paragraph" w:customStyle="1" w:styleId="226">
    <w:name w:val="正文2"/>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227">
    <w:name w:val="msonorm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28">
    <w:name w:val="font5"/>
    <w:basedOn w:val="1"/>
    <w:qFormat/>
    <w:uiPriority w:val="0"/>
    <w:pPr>
      <w:overflowPunct/>
      <w:autoSpaceDE/>
      <w:autoSpaceDN/>
      <w:adjustRightInd/>
      <w:spacing w:before="100" w:beforeAutospacing="1" w:after="100" w:afterAutospacing="1"/>
      <w:textAlignment w:val="auto"/>
    </w:pPr>
    <w:rPr>
      <w:rFonts w:ascii="Tahoma" w:hAnsi="Tahoma" w:eastAsia="宋体" w:cs="Tahoma"/>
      <w:color w:val="000000"/>
      <w:sz w:val="18"/>
      <w:szCs w:val="18"/>
      <w:lang w:val="en-US" w:eastAsia="zh-CN"/>
    </w:rPr>
  </w:style>
  <w:style w:type="paragraph" w:customStyle="1" w:styleId="229">
    <w:name w:val="font6"/>
    <w:basedOn w:val="1"/>
    <w:qFormat/>
    <w:uiPriority w:val="0"/>
    <w:pPr>
      <w:overflowPunct/>
      <w:autoSpaceDE/>
      <w:autoSpaceDN/>
      <w:adjustRightInd/>
      <w:spacing w:before="100" w:beforeAutospacing="1" w:after="100" w:afterAutospacing="1"/>
      <w:textAlignment w:val="auto"/>
    </w:pPr>
    <w:rPr>
      <w:rFonts w:ascii="Tahoma" w:hAnsi="Tahoma" w:eastAsia="宋体" w:cs="Tahoma"/>
      <w:b/>
      <w:bCs/>
      <w:color w:val="000000"/>
      <w:sz w:val="18"/>
      <w:szCs w:val="18"/>
      <w:lang w:val="en-US" w:eastAsia="zh-CN"/>
    </w:rPr>
  </w:style>
  <w:style w:type="paragraph" w:customStyle="1" w:styleId="230">
    <w:name w:val="xl66"/>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1">
    <w:name w:val="xl67"/>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2">
    <w:name w:val="xl68"/>
    <w:basedOn w:val="1"/>
    <w:qFormat/>
    <w:uiPriority w:val="0"/>
    <w:pPr>
      <w:shd w:val="clear" w:color="000000" w:fill="FFFFFF"/>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3">
    <w:name w:val="xl69"/>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b/>
      <w:bCs/>
      <w:color w:val="0000FF"/>
      <w:sz w:val="16"/>
      <w:szCs w:val="16"/>
      <w:u w:val="single"/>
      <w:lang w:val="en-US" w:eastAsia="zh-CN"/>
    </w:rPr>
  </w:style>
  <w:style w:type="paragraph" w:customStyle="1" w:styleId="234">
    <w:name w:val="xl70"/>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color w:val="000000"/>
      <w:sz w:val="16"/>
      <w:szCs w:val="16"/>
      <w:lang w:val="en-US" w:eastAsia="zh-CN"/>
    </w:rPr>
  </w:style>
  <w:style w:type="paragraph" w:customStyle="1" w:styleId="235">
    <w:name w:val="修订2"/>
    <w:hidden/>
    <w:unhideWhenUsed/>
    <w:qFormat/>
    <w:uiPriority w:val="99"/>
    <w:rPr>
      <w:rFonts w:ascii="Times New Roman" w:hAnsi="Times New Roman" w:eastAsia="Times New Roman" w:cs="Times New Roman"/>
      <w:lang w:val="en-GB" w:eastAsia="en-GB" w:bidi="ar-SA"/>
    </w:rPr>
  </w:style>
  <w:style w:type="paragraph" w:customStyle="1" w:styleId="236">
    <w:name w:val="Char"/>
    <w:basedOn w:val="134"/>
    <w:qFormat/>
    <w:uiPriority w:val="0"/>
    <w:pPr>
      <w:keepNext/>
      <w:keepLines/>
      <w:widowControl/>
      <w:numPr>
        <w:ilvl w:val="0"/>
        <w:numId w:val="12"/>
      </w:numPr>
      <w:pBdr>
        <w:top w:val="single" w:color="auto" w:sz="12" w:space="1"/>
      </w:pBdr>
      <w:tabs>
        <w:tab w:val="left" w:pos="1985"/>
      </w:tabs>
      <w:spacing w:before="240" w:after="180"/>
      <w:ind w:firstLine="0"/>
      <w:outlineLvl w:val="0"/>
    </w:pPr>
    <w:rPr>
      <w:rFonts w:ascii="Arial" w:hAnsi="Arial"/>
      <w:kern w:val="0"/>
      <w:sz w:val="32"/>
      <w:szCs w:val="36"/>
    </w:rPr>
  </w:style>
  <w:style w:type="paragraph" w:customStyle="1" w:styleId="23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238">
    <w:name w:val="Guidance"/>
    <w:basedOn w:val="1"/>
    <w:qFormat/>
    <w:uiPriority w:val="0"/>
    <w:rPr>
      <w:i/>
      <w:color w:val="0000FF"/>
    </w:rPr>
  </w:style>
  <w:style w:type="character" w:customStyle="1" w:styleId="239">
    <w:name w:val="列表段落 字符1"/>
    <w:qFormat/>
    <w:locked/>
    <w:uiPriority w:val="34"/>
    <w:rPr>
      <w:rFonts w:eastAsia="MS Mincho"/>
      <w:lang w:val="en-GB" w:eastAsia="en-US"/>
    </w:rPr>
  </w:style>
  <w:style w:type="paragraph" w:styleId="240">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15</Pages>
  <Words>744</Words>
  <Characters>4194</Characters>
  <Lines>158</Lines>
  <Paragraphs>44</Paragraphs>
  <TotalTime>0</TotalTime>
  <ScaleCrop>false</ScaleCrop>
  <LinksUpToDate>false</LinksUpToDate>
  <CharactersWithSpaces>4872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2024-05-27T09:34:00Z</dcterms:created>
  <dc:creator>cmcc</dc:creator>
  <cp:lastModifiedBy>ZTE, Fei Xue</cp:lastModifiedBy>
  <dcterms:modified xsi:type="dcterms:W3CDTF">2025-06-02T05:05:58Z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2052-12.1.0.21171</vt:lpwstr>
  </property>
  <property fmtid="{D5CDD505-2E9C-101B-9397-08002B2CF9AE}" pid="11" name="ICV">
    <vt:lpwstr>C4F2C37742CE498997F6F06E6A6C903C_13</vt:lpwstr>
  </property>
  <property fmtid="{D5CDD505-2E9C-101B-9397-08002B2CF9AE}" pid="12" name="KSOTemplateDocerSaveRecord">
    <vt:lpwstr>eyJoZGlkIjoiNTA2MDIzMjk0NzI5MmEzNWQ4YmNjZGZiMjgzNzc2MDMiLCJ1c2VySWQiOiIxMDQyMjkzMzc0In0=</vt:lpwstr>
  </property>
</Properties>
</file>